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0" w:leftChars="0"/>
        <w:jc w:val="center"/>
        <w:rPr>
          <w:rFonts w:hint="eastAsia" w:ascii="方正小标宋简体" w:hAnsi="方正小标宋简体" w:eastAsia="方正小标宋简体" w:cs="方正小标宋简体"/>
          <w:b w:val="0"/>
          <w:bCs w:val="0"/>
          <w:color w:val="auto"/>
          <w:spacing w:val="20"/>
          <w:sz w:val="44"/>
          <w:szCs w:val="30"/>
        </w:rPr>
      </w:pPr>
    </w:p>
    <w:p>
      <w:pPr>
        <w:spacing w:line="600" w:lineRule="exact"/>
        <w:ind w:left="0" w:leftChars="0"/>
        <w:jc w:val="center"/>
        <w:rPr>
          <w:rFonts w:hint="eastAsia" w:ascii="方正小标宋简体" w:hAnsi="方正小标宋简体" w:eastAsia="方正小标宋简体" w:cs="方正小标宋简体"/>
          <w:b w:val="0"/>
          <w:bCs w:val="0"/>
          <w:color w:val="auto"/>
          <w:spacing w:val="20"/>
          <w:sz w:val="44"/>
          <w:szCs w:val="30"/>
        </w:rPr>
      </w:pPr>
      <w:r>
        <w:rPr>
          <w:rFonts w:hint="eastAsia" w:ascii="方正小标宋简体" w:hAnsi="方正小标宋简体" w:eastAsia="方正小标宋简体" w:cs="方正小标宋简体"/>
          <w:b w:val="0"/>
          <w:bCs w:val="0"/>
          <w:color w:val="auto"/>
          <w:spacing w:val="20"/>
          <w:sz w:val="44"/>
          <w:szCs w:val="30"/>
        </w:rPr>
        <w:t>2021年海口市国民经济和社会发展</w:t>
      </w:r>
    </w:p>
    <w:p>
      <w:pPr>
        <w:spacing w:line="600" w:lineRule="exact"/>
        <w:ind w:firstLine="2880" w:firstLineChars="600"/>
        <w:jc w:val="both"/>
        <w:rPr>
          <w:rFonts w:hint="eastAsia" w:ascii="方正小标宋简体" w:hAnsi="方正小标宋简体" w:eastAsia="方正小标宋简体" w:cs="方正小标宋简体"/>
          <w:b w:val="0"/>
          <w:bCs w:val="0"/>
          <w:color w:val="auto"/>
          <w:kern w:val="2"/>
          <w:sz w:val="44"/>
          <w:szCs w:val="32"/>
        </w:rPr>
      </w:pPr>
      <w:r>
        <w:rPr>
          <w:rFonts w:hint="eastAsia" w:ascii="方正小标宋简体" w:hAnsi="方正小标宋简体" w:eastAsia="方正小标宋简体" w:cs="方正小标宋简体"/>
          <w:b w:val="0"/>
          <w:bCs w:val="0"/>
          <w:color w:val="auto"/>
          <w:spacing w:val="20"/>
          <w:sz w:val="44"/>
          <w:szCs w:val="30"/>
        </w:rPr>
        <w:t>统计公报</w:t>
      </w:r>
      <w:bookmarkStart w:id="0" w:name="_GoBack"/>
      <w:bookmarkEnd w:id="0"/>
    </w:p>
    <w:p>
      <w:pPr>
        <w:spacing w:line="600" w:lineRule="exact"/>
        <w:ind w:left="0" w:leftChars="0" w:firstLine="560" w:firstLineChars="200"/>
        <w:rPr>
          <w:rFonts w:hint="eastAsia" w:ascii="仿宋" w:hAnsi="仿宋" w:eastAsia="仿宋" w:cs="仿宋"/>
          <w:color w:val="auto"/>
          <w:kern w:val="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shd w:val="clear" w:color="auto" w:fill="FFFFFF"/>
          <w:lang w:val="en-US" w:eastAsia="zh-CN"/>
        </w:rPr>
        <w:t>2021年，海口市坚持以习近平新时代中国特色社会主义思想为指导，认真落实省委、省政府决策部署，巩固拓展疫情防控和经济社会发展成果，奋力抢抓海南自由贸易港建设历史性机遇，全力推进海口高质量发展，经济持续稳定恢复，各项主要指标保持增长,经济运行整体保持平稳健康发展良好态势。</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黑体" w:hAnsi="黑体" w:eastAsia="黑体" w:cs="黑体"/>
          <w:b w:val="0"/>
          <w:bCs/>
          <w:color w:val="auto"/>
          <w:spacing w:val="20"/>
          <w:sz w:val="32"/>
          <w:szCs w:val="32"/>
        </w:rPr>
      </w:pPr>
      <w:r>
        <w:rPr>
          <w:rFonts w:hint="eastAsia" w:ascii="黑体" w:hAnsi="黑体" w:eastAsia="黑体" w:cs="黑体"/>
          <w:b w:val="0"/>
          <w:bCs/>
          <w:color w:val="auto"/>
          <w:spacing w:val="20"/>
          <w:sz w:val="32"/>
          <w:szCs w:val="32"/>
          <w:shd w:val="clear" w:color="auto" w:fill="FFFFFF"/>
        </w:rPr>
        <w:t>一、综合</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（一）地区生产总值</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shd w:val="clear" w:color="auto" w:fill="FFFFFF"/>
        </w:rPr>
        <w:t>初步核算，2021年实现地区生产总值</w:t>
      </w:r>
      <w:r>
        <w:rPr>
          <w:rFonts w:hint="eastAsia" w:ascii="仿宋" w:hAnsi="仿宋" w:eastAsia="仿宋" w:cs="仿宋"/>
          <w:color w:val="auto"/>
          <w:spacing w:val="20"/>
          <w:sz w:val="32"/>
          <w:szCs w:val="32"/>
          <w:shd w:val="clear" w:color="auto" w:fill="FFFFFF"/>
          <w:lang w:val="en-US" w:eastAsia="zh-CN"/>
        </w:rPr>
        <w:t>2057.06</w:t>
      </w:r>
      <w:r>
        <w:rPr>
          <w:rFonts w:hint="eastAsia" w:ascii="仿宋" w:hAnsi="仿宋" w:eastAsia="仿宋" w:cs="仿宋"/>
          <w:color w:val="auto"/>
          <w:spacing w:val="20"/>
          <w:sz w:val="32"/>
          <w:szCs w:val="32"/>
          <w:shd w:val="clear" w:color="auto" w:fill="FFFFFF"/>
        </w:rPr>
        <w:t>亿元，按可比价格计算，比上年增长</w:t>
      </w:r>
      <w:r>
        <w:rPr>
          <w:rFonts w:hint="eastAsia" w:ascii="仿宋" w:hAnsi="仿宋" w:eastAsia="仿宋" w:cs="仿宋"/>
          <w:color w:val="auto"/>
          <w:spacing w:val="20"/>
          <w:sz w:val="32"/>
          <w:szCs w:val="32"/>
          <w:shd w:val="clear" w:color="auto" w:fill="FFFFFF"/>
          <w:lang w:val="en-US" w:eastAsia="zh-CN"/>
        </w:rPr>
        <w:t>11.3</w:t>
      </w:r>
      <w:r>
        <w:rPr>
          <w:rFonts w:hint="eastAsia" w:ascii="仿宋" w:hAnsi="仿宋" w:eastAsia="仿宋" w:cs="仿宋"/>
          <w:color w:val="auto"/>
          <w:spacing w:val="20"/>
          <w:sz w:val="32"/>
          <w:szCs w:val="32"/>
          <w:shd w:val="clear" w:color="auto" w:fill="FFFFFF"/>
        </w:rPr>
        <w:t>%。按产业分，第一产业增加值</w:t>
      </w:r>
      <w:r>
        <w:rPr>
          <w:rFonts w:hint="eastAsia" w:ascii="仿宋" w:hAnsi="仿宋" w:eastAsia="仿宋" w:cs="仿宋"/>
          <w:color w:val="auto"/>
          <w:spacing w:val="20"/>
          <w:sz w:val="32"/>
          <w:szCs w:val="32"/>
          <w:shd w:val="clear" w:color="auto" w:fill="FFFFFF"/>
          <w:lang w:val="en-US" w:eastAsia="zh-CN"/>
        </w:rPr>
        <w:t>85.43</w:t>
      </w:r>
      <w:r>
        <w:rPr>
          <w:rFonts w:hint="eastAsia" w:ascii="仿宋" w:hAnsi="仿宋" w:eastAsia="仿宋" w:cs="仿宋"/>
          <w:color w:val="auto"/>
          <w:spacing w:val="20"/>
          <w:sz w:val="32"/>
          <w:szCs w:val="32"/>
          <w:shd w:val="clear" w:color="auto" w:fill="FFFFFF"/>
        </w:rPr>
        <w:t>亿元，增长</w:t>
      </w:r>
      <w:r>
        <w:rPr>
          <w:rFonts w:hint="eastAsia" w:ascii="仿宋" w:hAnsi="仿宋" w:eastAsia="仿宋" w:cs="仿宋"/>
          <w:color w:val="auto"/>
          <w:spacing w:val="20"/>
          <w:sz w:val="32"/>
          <w:szCs w:val="32"/>
          <w:shd w:val="clear" w:color="auto" w:fill="FFFFFF"/>
          <w:lang w:val="en-US" w:eastAsia="zh-CN"/>
        </w:rPr>
        <w:t>4.7</w:t>
      </w:r>
      <w:r>
        <w:rPr>
          <w:rFonts w:hint="eastAsia" w:ascii="仿宋" w:hAnsi="仿宋" w:eastAsia="仿宋" w:cs="仿宋"/>
          <w:color w:val="auto"/>
          <w:spacing w:val="20"/>
          <w:sz w:val="32"/>
          <w:szCs w:val="32"/>
          <w:shd w:val="clear" w:color="auto" w:fill="FFFFFF"/>
        </w:rPr>
        <w:t>%；第二产业增加值</w:t>
      </w:r>
      <w:r>
        <w:rPr>
          <w:rFonts w:hint="eastAsia" w:ascii="仿宋" w:hAnsi="仿宋" w:eastAsia="仿宋" w:cs="仿宋"/>
          <w:color w:val="auto"/>
          <w:spacing w:val="20"/>
          <w:sz w:val="32"/>
          <w:szCs w:val="32"/>
          <w:shd w:val="clear" w:color="auto" w:fill="FFFFFF"/>
          <w:lang w:val="en-US" w:eastAsia="zh-CN"/>
        </w:rPr>
        <w:t>346.75</w:t>
      </w:r>
      <w:r>
        <w:rPr>
          <w:rFonts w:hint="eastAsia" w:ascii="仿宋" w:hAnsi="仿宋" w:eastAsia="仿宋" w:cs="仿宋"/>
          <w:color w:val="auto"/>
          <w:spacing w:val="20"/>
          <w:sz w:val="32"/>
          <w:szCs w:val="32"/>
          <w:shd w:val="clear" w:color="auto" w:fill="FFFFFF"/>
        </w:rPr>
        <w:t>亿元，增长</w:t>
      </w:r>
      <w:r>
        <w:rPr>
          <w:rFonts w:hint="eastAsia" w:ascii="仿宋" w:hAnsi="仿宋" w:eastAsia="仿宋" w:cs="仿宋"/>
          <w:color w:val="auto"/>
          <w:spacing w:val="20"/>
          <w:sz w:val="32"/>
          <w:szCs w:val="32"/>
          <w:shd w:val="clear" w:color="auto" w:fill="FFFFFF"/>
          <w:lang w:val="en-US" w:eastAsia="zh-CN"/>
        </w:rPr>
        <w:t>8.0</w:t>
      </w:r>
      <w:r>
        <w:rPr>
          <w:rFonts w:hint="eastAsia" w:ascii="仿宋" w:hAnsi="仿宋" w:eastAsia="仿宋" w:cs="仿宋"/>
          <w:color w:val="auto"/>
          <w:spacing w:val="20"/>
          <w:sz w:val="32"/>
          <w:szCs w:val="32"/>
          <w:shd w:val="clear" w:color="auto" w:fill="FFFFFF"/>
        </w:rPr>
        <w:t>%；第三产业增加值</w:t>
      </w:r>
      <w:r>
        <w:rPr>
          <w:rFonts w:hint="eastAsia" w:ascii="仿宋" w:hAnsi="仿宋" w:eastAsia="仿宋" w:cs="仿宋"/>
          <w:color w:val="auto"/>
          <w:spacing w:val="20"/>
          <w:sz w:val="32"/>
          <w:szCs w:val="32"/>
          <w:shd w:val="clear" w:color="auto" w:fill="FFFFFF"/>
          <w:lang w:val="en-US" w:eastAsia="zh-CN"/>
        </w:rPr>
        <w:t>1624.88</w:t>
      </w:r>
      <w:r>
        <w:rPr>
          <w:rFonts w:hint="eastAsia" w:ascii="仿宋" w:hAnsi="仿宋" w:eastAsia="仿宋" w:cs="仿宋"/>
          <w:color w:val="auto"/>
          <w:spacing w:val="20"/>
          <w:sz w:val="32"/>
          <w:szCs w:val="32"/>
          <w:shd w:val="clear" w:color="auto" w:fill="FFFFFF"/>
        </w:rPr>
        <w:t>亿元，增长</w:t>
      </w:r>
      <w:r>
        <w:rPr>
          <w:rFonts w:hint="eastAsia" w:ascii="仿宋" w:hAnsi="仿宋" w:eastAsia="仿宋" w:cs="仿宋"/>
          <w:color w:val="auto"/>
          <w:spacing w:val="20"/>
          <w:sz w:val="32"/>
          <w:szCs w:val="32"/>
          <w:shd w:val="clear" w:color="auto" w:fill="FFFFFF"/>
          <w:lang w:val="en-US" w:eastAsia="zh-CN"/>
        </w:rPr>
        <w:t>12.3</w:t>
      </w:r>
      <w:r>
        <w:rPr>
          <w:rFonts w:hint="eastAsia" w:ascii="仿宋" w:hAnsi="仿宋" w:eastAsia="仿宋" w:cs="仿宋"/>
          <w:color w:val="auto"/>
          <w:spacing w:val="20"/>
          <w:sz w:val="32"/>
          <w:szCs w:val="32"/>
          <w:shd w:val="clear" w:color="auto" w:fill="FFFFFF"/>
        </w:rPr>
        <w:t>%。产业结构持续优化，三次产业结构比为</w:t>
      </w:r>
      <w:r>
        <w:rPr>
          <w:rFonts w:hint="eastAsia" w:ascii="仿宋" w:hAnsi="仿宋" w:eastAsia="仿宋" w:cs="仿宋"/>
          <w:color w:val="auto"/>
          <w:spacing w:val="20"/>
          <w:sz w:val="32"/>
          <w:szCs w:val="32"/>
          <w:shd w:val="clear" w:color="auto" w:fill="FFFFFF"/>
          <w:lang w:val="en-US" w:eastAsia="zh-CN"/>
        </w:rPr>
        <w:t>4.1∶16.9∶79.0</w:t>
      </w:r>
      <w:r>
        <w:rPr>
          <w:rFonts w:hint="eastAsia" w:ascii="仿宋" w:hAnsi="仿宋" w:eastAsia="仿宋" w:cs="仿宋"/>
          <w:color w:val="auto"/>
          <w:spacing w:val="20"/>
          <w:sz w:val="32"/>
          <w:szCs w:val="32"/>
          <w:shd w:val="clear" w:color="auto" w:fill="FFFFFF"/>
        </w:rPr>
        <w:t>；三次产业对经济增长的贡献率分别为</w:t>
      </w:r>
      <w:r>
        <w:rPr>
          <w:rFonts w:hint="eastAsia" w:ascii="仿宋" w:hAnsi="仿宋" w:eastAsia="仿宋" w:cs="仿宋"/>
          <w:color w:val="auto"/>
          <w:spacing w:val="20"/>
          <w:sz w:val="32"/>
          <w:szCs w:val="32"/>
          <w:shd w:val="clear" w:color="auto" w:fill="FFFFFF"/>
          <w:lang w:val="en-US" w:eastAsia="zh-CN"/>
        </w:rPr>
        <w:t>1.8</w:t>
      </w:r>
      <w:r>
        <w:rPr>
          <w:rFonts w:hint="eastAsia" w:ascii="仿宋" w:hAnsi="仿宋" w:eastAsia="仿宋" w:cs="仿宋"/>
          <w:color w:val="auto"/>
          <w:spacing w:val="20"/>
          <w:sz w:val="32"/>
          <w:szCs w:val="32"/>
          <w:shd w:val="clear" w:color="auto" w:fill="FFFFFF"/>
        </w:rPr>
        <w:t>%、</w:t>
      </w:r>
      <w:r>
        <w:rPr>
          <w:rFonts w:hint="eastAsia" w:ascii="仿宋" w:hAnsi="仿宋" w:eastAsia="仿宋" w:cs="仿宋"/>
          <w:color w:val="auto"/>
          <w:spacing w:val="20"/>
          <w:sz w:val="32"/>
          <w:szCs w:val="32"/>
          <w:shd w:val="clear" w:color="auto" w:fill="FFFFFF"/>
          <w:lang w:val="en-US" w:eastAsia="zh-CN"/>
        </w:rPr>
        <w:t>11.9</w:t>
      </w:r>
      <w:r>
        <w:rPr>
          <w:rFonts w:hint="eastAsia" w:ascii="仿宋" w:hAnsi="仿宋" w:eastAsia="仿宋" w:cs="仿宋"/>
          <w:color w:val="auto"/>
          <w:spacing w:val="20"/>
          <w:sz w:val="32"/>
          <w:szCs w:val="32"/>
          <w:shd w:val="clear" w:color="auto" w:fill="FFFFFF"/>
        </w:rPr>
        <w:t>%和</w:t>
      </w:r>
      <w:r>
        <w:rPr>
          <w:rFonts w:hint="eastAsia" w:ascii="仿宋" w:hAnsi="仿宋" w:eastAsia="仿宋" w:cs="仿宋"/>
          <w:color w:val="auto"/>
          <w:spacing w:val="20"/>
          <w:sz w:val="32"/>
          <w:szCs w:val="32"/>
          <w:shd w:val="clear" w:color="auto" w:fill="FFFFFF"/>
          <w:lang w:val="en-US" w:eastAsia="zh-CN"/>
        </w:rPr>
        <w:t>86.3</w:t>
      </w:r>
      <w:r>
        <w:rPr>
          <w:rFonts w:hint="eastAsia" w:ascii="仿宋" w:hAnsi="仿宋" w:eastAsia="仿宋" w:cs="仿宋"/>
          <w:color w:val="auto"/>
          <w:spacing w:val="20"/>
          <w:sz w:val="32"/>
          <w:szCs w:val="32"/>
          <w:shd w:val="clear" w:color="auto" w:fill="FFFFFF"/>
        </w:rPr>
        <w:t>%。</w:t>
      </w:r>
    </w:p>
    <w:p>
      <w:pPr>
        <w:ind w:left="0" w:leftChars="0" w:firstLine="560" w:firstLineChars="200"/>
        <w:jc w:val="both"/>
        <w:rPr>
          <w:rFonts w:hint="eastAsia" w:ascii="仿宋" w:hAnsi="仿宋" w:eastAsia="仿宋" w:cs="仿宋"/>
          <w:color w:val="auto"/>
          <w:spacing w:val="20"/>
          <w:sz w:val="28"/>
          <w:szCs w:val="28"/>
          <w:shd w:val="clear" w:color="auto" w:fill="FFFFFF"/>
        </w:rPr>
      </w:pPr>
      <w:r>
        <w:rPr>
          <w:rFonts w:hint="eastAsia" w:ascii="仿宋" w:hAnsi="仿宋" w:eastAsia="仿宋" w:cs="仿宋"/>
          <w:color w:val="auto"/>
          <w:sz w:val="28"/>
          <w:szCs w:val="28"/>
        </w:rPr>
        <w:drawing>
          <wp:inline distT="0" distB="0" distL="114300" distR="114300">
            <wp:extent cx="4800600" cy="3628390"/>
            <wp:effectExtent l="4445" t="4445" r="14605" b="5715"/>
            <wp:docPr id="10"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keepNext w:val="0"/>
        <w:keepLines w:val="0"/>
        <w:pageBreakBefore w:val="0"/>
        <w:widowControl/>
        <w:kinsoku/>
        <w:wordWrap/>
        <w:overflowPunct/>
        <w:topLinePunct w:val="0"/>
        <w:autoSpaceDE/>
        <w:autoSpaceDN/>
        <w:bidi w:val="0"/>
        <w:adjustRightInd/>
        <w:snapToGrid/>
        <w:spacing w:before="157" w:beforeLines="50"/>
        <w:ind w:left="0" w:leftChars="0" w:firstLine="720" w:firstLineChars="200"/>
        <w:jc w:val="both"/>
        <w:textAlignment w:val="auto"/>
        <w:rPr>
          <w:rFonts w:hint="eastAsia" w:ascii="楷体" w:hAnsi="楷体" w:eastAsia="楷体" w:cs="楷体"/>
          <w:b w:val="0"/>
          <w:bCs/>
          <w:color w:val="auto"/>
          <w:spacing w:val="20"/>
          <w:sz w:val="32"/>
          <w:szCs w:val="32"/>
        </w:rPr>
      </w:pPr>
      <w:r>
        <w:rPr>
          <w:rFonts w:hint="eastAsia" w:ascii="楷体" w:hAnsi="楷体" w:eastAsia="楷体" w:cs="楷体"/>
          <w:b w:val="0"/>
          <w:bCs/>
          <w:color w:val="auto"/>
          <w:spacing w:val="20"/>
          <w:sz w:val="32"/>
          <w:szCs w:val="32"/>
        </w:rPr>
        <w:t>（二）财政收支</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rPr>
      </w:pPr>
      <w:r>
        <w:rPr>
          <w:rFonts w:hint="eastAsia" w:ascii="仿宋" w:hAnsi="仿宋" w:eastAsia="仿宋" w:cs="仿宋"/>
          <w:color w:val="auto"/>
          <w:spacing w:val="20"/>
          <w:sz w:val="32"/>
          <w:szCs w:val="32"/>
        </w:rPr>
        <w:t>全市全口径一般公共预算收入566.5亿元，同比增长23.1%。其中地方一般公共预算收入208.3亿元，增长12%。在地方一般公共预算收入中，实现税收收入179.4亿元，增长29.9%，其中国内增值税66.3亿元，增长20.4%；企业所得税37.4亿元，增长25.6%；个人所得税16.1亿元，增长122.3%；土地增值税18.8亿元，增长36.7%。</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rPr>
      </w:pPr>
      <w:r>
        <w:rPr>
          <w:rFonts w:hint="eastAsia" w:ascii="仿宋" w:hAnsi="仿宋" w:eastAsia="仿宋" w:cs="仿宋"/>
          <w:color w:val="auto"/>
          <w:spacing w:val="20"/>
          <w:sz w:val="32"/>
          <w:szCs w:val="32"/>
        </w:rPr>
        <w:t>全年地方一般公共预算支出274.8亿元，下降10.5%。全年财政民生支出190.4亿元，占地方一般公共财政预算支出的69.3%。其中教育支出45.8亿元，增长6.9%；社会保障和就业支出29.6亿元，下降15.6%；卫生健康支出20.6亿元，下降43%；城乡社区支出50.1亿元，下降14.9%；农林水支出18.9亿元，下降18.4%；交通运输支出8.1亿元，增长70%；住房保障支出9.4亿元，增长29.1%。</w:t>
      </w:r>
    </w:p>
    <w:p>
      <w:pPr>
        <w:pStyle w:val="2"/>
        <w:rPr>
          <w:rFonts w:hint="eastAsia"/>
        </w:rPr>
      </w:pPr>
    </w:p>
    <w:p>
      <w:pPr>
        <w:ind w:left="0" w:leftChars="0" w:firstLine="560" w:firstLineChars="200"/>
        <w:jc w:val="center"/>
        <w:rPr>
          <w:rFonts w:hint="eastAsia" w:ascii="仿宋" w:hAnsi="仿宋" w:eastAsia="仿宋" w:cs="仿宋"/>
          <w:color w:val="auto"/>
          <w:spacing w:val="20"/>
          <w:sz w:val="28"/>
          <w:szCs w:val="28"/>
          <w:shd w:val="clear" w:color="auto" w:fill="FFFFFF"/>
        </w:rPr>
      </w:pPr>
      <w:r>
        <w:rPr>
          <w:rFonts w:hint="eastAsia" w:ascii="仿宋" w:hAnsi="仿宋" w:eastAsia="仿宋" w:cs="仿宋"/>
          <w:color w:val="auto"/>
          <w:sz w:val="28"/>
          <w:szCs w:val="28"/>
        </w:rPr>
        <w:drawing>
          <wp:inline distT="0" distB="0" distL="114300" distR="114300">
            <wp:extent cx="4962525" cy="3983355"/>
            <wp:effectExtent l="0" t="0" r="9525" b="17145"/>
            <wp:docPr id="11"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keepNext w:val="0"/>
        <w:keepLines w:val="0"/>
        <w:pageBreakBefore w:val="0"/>
        <w:widowControl/>
        <w:kinsoku/>
        <w:wordWrap/>
        <w:overflowPunct/>
        <w:topLinePunct w:val="0"/>
        <w:autoSpaceDE/>
        <w:autoSpaceDN/>
        <w:bidi w:val="0"/>
        <w:adjustRightInd/>
        <w:snapToGrid/>
        <w:ind w:left="0" w:leftChars="0" w:firstLine="720" w:firstLineChars="200"/>
        <w:jc w:val="both"/>
        <w:textAlignment w:val="auto"/>
        <w:rPr>
          <w:rFonts w:hint="eastAsia" w:ascii="楷体" w:hAnsi="楷体" w:eastAsia="楷体" w:cs="楷体"/>
          <w:b w:val="0"/>
          <w:bCs/>
          <w:snapToGrid w:val="0"/>
          <w:color w:val="auto"/>
          <w:spacing w:val="20"/>
          <w:sz w:val="32"/>
          <w:szCs w:val="32"/>
        </w:rPr>
      </w:pPr>
      <w:r>
        <w:rPr>
          <w:rFonts w:hint="eastAsia" w:ascii="楷体" w:hAnsi="楷体" w:eastAsia="楷体" w:cs="楷体"/>
          <w:b w:val="0"/>
          <w:bCs/>
          <w:snapToGrid w:val="0"/>
          <w:color w:val="auto"/>
          <w:spacing w:val="20"/>
          <w:sz w:val="32"/>
          <w:szCs w:val="32"/>
        </w:rPr>
        <w:t>（三）固定资产投资</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lang w:val="zh-CN"/>
        </w:rPr>
      </w:pPr>
      <w:r>
        <w:rPr>
          <w:rFonts w:hint="eastAsia" w:ascii="仿宋" w:hAnsi="仿宋" w:eastAsia="仿宋" w:cs="仿宋"/>
          <w:color w:val="auto"/>
          <w:spacing w:val="20"/>
          <w:sz w:val="32"/>
          <w:szCs w:val="32"/>
          <w:lang w:val="en"/>
        </w:rPr>
        <w:t>2021年，继续</w:t>
      </w:r>
      <w:r>
        <w:rPr>
          <w:rFonts w:hint="eastAsia" w:ascii="仿宋" w:hAnsi="仿宋" w:eastAsia="仿宋" w:cs="仿宋"/>
          <w:color w:val="auto"/>
          <w:spacing w:val="20"/>
          <w:sz w:val="32"/>
          <w:szCs w:val="32"/>
          <w:lang w:val="zh-CN"/>
        </w:rPr>
        <w:t>加大招商引资工作力度，保障我市投资持续稳定发展。在做好市政基础设施、老旧小区改造、公共卫生服务、应急物资保障等补短板领域项目谋划的同时，结合实际探索推进新基建领域项目建设，加大5G、工业互联网、城际轨道交通、新能源汽车及充电桩、大数据中心、人工智能等领域投资力度，带动全市各类产业投资全面发展。</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lang w:val="en"/>
        </w:rPr>
        <w:t>全年完成固定资产投资比上年增长</w:t>
      </w:r>
      <w:r>
        <w:rPr>
          <w:rFonts w:hint="eastAsia" w:ascii="仿宋" w:hAnsi="仿宋" w:eastAsia="仿宋" w:cs="仿宋"/>
          <w:color w:val="auto"/>
          <w:spacing w:val="20"/>
          <w:sz w:val="32"/>
          <w:szCs w:val="32"/>
          <w:lang w:val="en-US" w:eastAsia="zh-CN"/>
        </w:rPr>
        <w:t>8.4</w:t>
      </w:r>
      <w:r>
        <w:rPr>
          <w:rFonts w:hint="eastAsia" w:ascii="仿宋" w:hAnsi="仿宋" w:eastAsia="仿宋" w:cs="仿宋"/>
          <w:color w:val="auto"/>
          <w:spacing w:val="20"/>
          <w:sz w:val="32"/>
          <w:szCs w:val="32"/>
          <w:lang w:val="en"/>
        </w:rPr>
        <w:t>%，</w:t>
      </w:r>
      <w:r>
        <w:rPr>
          <w:rFonts w:hint="eastAsia" w:ascii="仿宋" w:hAnsi="仿宋" w:eastAsia="仿宋" w:cs="仿宋"/>
          <w:color w:val="auto"/>
          <w:spacing w:val="20"/>
          <w:sz w:val="32"/>
          <w:szCs w:val="32"/>
          <w:shd w:val="clear" w:color="auto" w:fill="FFFFFF"/>
        </w:rPr>
        <w:t>其中：房地产投资增长</w:t>
      </w:r>
      <w:r>
        <w:rPr>
          <w:rFonts w:hint="eastAsia" w:ascii="仿宋" w:hAnsi="仿宋" w:eastAsia="仿宋" w:cs="仿宋"/>
          <w:color w:val="auto"/>
          <w:spacing w:val="20"/>
          <w:sz w:val="32"/>
          <w:szCs w:val="32"/>
          <w:shd w:val="clear" w:color="auto" w:fill="FFFFFF"/>
          <w:lang w:val="en-US" w:eastAsia="zh-CN"/>
        </w:rPr>
        <w:t>2.0</w:t>
      </w:r>
      <w:r>
        <w:rPr>
          <w:rFonts w:hint="eastAsia" w:ascii="仿宋" w:hAnsi="仿宋" w:eastAsia="仿宋" w:cs="仿宋"/>
          <w:color w:val="auto"/>
          <w:spacing w:val="20"/>
          <w:sz w:val="32"/>
          <w:szCs w:val="32"/>
          <w:shd w:val="clear" w:color="auto" w:fill="FFFFFF"/>
        </w:rPr>
        <w:t>%，非房投资增长</w:t>
      </w:r>
      <w:r>
        <w:rPr>
          <w:rFonts w:hint="eastAsia" w:ascii="仿宋" w:hAnsi="仿宋" w:eastAsia="仿宋" w:cs="仿宋"/>
          <w:color w:val="auto"/>
          <w:spacing w:val="20"/>
          <w:sz w:val="32"/>
          <w:szCs w:val="32"/>
          <w:shd w:val="clear" w:color="auto" w:fill="FFFFFF"/>
          <w:lang w:val="en-US" w:eastAsia="zh-CN"/>
        </w:rPr>
        <w:t>12.0</w:t>
      </w:r>
      <w:r>
        <w:rPr>
          <w:rFonts w:hint="eastAsia" w:ascii="仿宋" w:hAnsi="仿宋" w:eastAsia="仿宋" w:cs="仿宋"/>
          <w:color w:val="auto"/>
          <w:spacing w:val="20"/>
          <w:sz w:val="32"/>
          <w:szCs w:val="32"/>
          <w:shd w:val="clear" w:color="auto" w:fill="FFFFFF"/>
        </w:rPr>
        <w:t>%。分产业看，第一产业投资</w:t>
      </w:r>
      <w:r>
        <w:rPr>
          <w:rFonts w:hint="eastAsia" w:ascii="仿宋" w:hAnsi="仿宋" w:eastAsia="仿宋" w:cs="仿宋"/>
          <w:color w:val="auto"/>
          <w:spacing w:val="20"/>
          <w:sz w:val="32"/>
          <w:szCs w:val="32"/>
          <w:shd w:val="clear" w:color="auto" w:fill="FFFFFF"/>
          <w:lang w:eastAsia="zh-CN"/>
        </w:rPr>
        <w:t>下降</w:t>
      </w:r>
      <w:r>
        <w:rPr>
          <w:rFonts w:hint="eastAsia" w:ascii="仿宋" w:hAnsi="仿宋" w:eastAsia="仿宋" w:cs="仿宋"/>
          <w:color w:val="auto"/>
          <w:spacing w:val="20"/>
          <w:sz w:val="32"/>
          <w:szCs w:val="32"/>
          <w:shd w:val="clear" w:color="auto" w:fill="FFFFFF"/>
          <w:lang w:val="en-US" w:eastAsia="zh-CN"/>
        </w:rPr>
        <w:t>42.3</w:t>
      </w:r>
      <w:r>
        <w:rPr>
          <w:rFonts w:hint="eastAsia" w:ascii="仿宋" w:hAnsi="仿宋" w:eastAsia="仿宋" w:cs="仿宋"/>
          <w:color w:val="auto"/>
          <w:spacing w:val="20"/>
          <w:sz w:val="32"/>
          <w:szCs w:val="32"/>
          <w:shd w:val="clear" w:color="auto" w:fill="FFFFFF"/>
        </w:rPr>
        <w:t>%，第二产业投资</w:t>
      </w:r>
      <w:r>
        <w:rPr>
          <w:rFonts w:hint="eastAsia" w:ascii="仿宋" w:hAnsi="仿宋" w:eastAsia="仿宋" w:cs="仿宋"/>
          <w:color w:val="auto"/>
          <w:spacing w:val="20"/>
          <w:sz w:val="32"/>
          <w:szCs w:val="32"/>
          <w:shd w:val="clear" w:color="auto" w:fill="FFFFFF"/>
          <w:lang w:eastAsia="zh-CN"/>
        </w:rPr>
        <w:t>下降</w:t>
      </w:r>
      <w:r>
        <w:rPr>
          <w:rFonts w:hint="eastAsia" w:ascii="仿宋" w:hAnsi="仿宋" w:eastAsia="仿宋" w:cs="仿宋"/>
          <w:color w:val="auto"/>
          <w:spacing w:val="20"/>
          <w:sz w:val="32"/>
          <w:szCs w:val="32"/>
          <w:shd w:val="clear" w:color="auto" w:fill="FFFFFF"/>
          <w:lang w:val="en-US" w:eastAsia="zh-CN"/>
        </w:rPr>
        <w:t>27.0</w:t>
      </w:r>
      <w:r>
        <w:rPr>
          <w:rFonts w:hint="eastAsia" w:ascii="仿宋" w:hAnsi="仿宋" w:eastAsia="仿宋" w:cs="仿宋"/>
          <w:color w:val="auto"/>
          <w:spacing w:val="20"/>
          <w:sz w:val="32"/>
          <w:szCs w:val="32"/>
          <w:shd w:val="clear" w:color="auto" w:fill="FFFFFF"/>
        </w:rPr>
        <w:t>%，第三产业投资增长</w:t>
      </w:r>
      <w:r>
        <w:rPr>
          <w:rFonts w:hint="eastAsia" w:ascii="仿宋" w:hAnsi="仿宋" w:eastAsia="仿宋" w:cs="仿宋"/>
          <w:color w:val="auto"/>
          <w:spacing w:val="20"/>
          <w:sz w:val="32"/>
          <w:szCs w:val="32"/>
          <w:shd w:val="clear" w:color="auto" w:fill="FFFFFF"/>
          <w:lang w:val="en-US" w:eastAsia="zh-CN"/>
        </w:rPr>
        <w:t>14.6</w:t>
      </w:r>
      <w:r>
        <w:rPr>
          <w:rFonts w:hint="eastAsia" w:ascii="仿宋" w:hAnsi="仿宋" w:eastAsia="仿宋" w:cs="仿宋"/>
          <w:color w:val="auto"/>
          <w:spacing w:val="20"/>
          <w:sz w:val="32"/>
          <w:szCs w:val="32"/>
          <w:shd w:val="clear" w:color="auto" w:fill="FFFFFF"/>
        </w:rPr>
        <w:t>%，三次产业投资比例为</w:t>
      </w:r>
      <w:r>
        <w:rPr>
          <w:rFonts w:hint="eastAsia" w:ascii="仿宋" w:hAnsi="仿宋" w:eastAsia="仿宋" w:cs="仿宋"/>
          <w:color w:val="auto"/>
          <w:spacing w:val="20"/>
          <w:sz w:val="32"/>
          <w:szCs w:val="32"/>
          <w:shd w:val="clear" w:color="auto" w:fill="FFFFFF"/>
          <w:lang w:val="en-US" w:eastAsia="zh-CN"/>
        </w:rPr>
        <w:t>0.4∶9.5∶90.1</w:t>
      </w:r>
      <w:r>
        <w:rPr>
          <w:rFonts w:hint="eastAsia" w:ascii="仿宋" w:hAnsi="仿宋" w:eastAsia="仿宋" w:cs="仿宋"/>
          <w:color w:val="auto"/>
          <w:spacing w:val="20"/>
          <w:sz w:val="32"/>
          <w:szCs w:val="32"/>
          <w:shd w:val="clear" w:color="auto" w:fill="FFFFFF"/>
        </w:rPr>
        <w:t>。房地产与非房项目结构比由</w:t>
      </w:r>
      <w:r>
        <w:rPr>
          <w:rFonts w:hint="eastAsia" w:ascii="仿宋" w:hAnsi="仿宋" w:eastAsia="仿宋" w:cs="仿宋"/>
          <w:color w:val="auto"/>
          <w:spacing w:val="20"/>
          <w:sz w:val="32"/>
          <w:szCs w:val="32"/>
          <w:shd w:val="clear" w:color="auto" w:fill="FFFFFF"/>
          <w:lang w:val="en-US" w:eastAsia="zh-CN"/>
        </w:rPr>
        <w:t>36.3∶63.7</w:t>
      </w:r>
      <w:r>
        <w:rPr>
          <w:rFonts w:hint="eastAsia" w:ascii="仿宋" w:hAnsi="仿宋" w:eastAsia="仿宋" w:cs="仿宋"/>
          <w:color w:val="auto"/>
          <w:spacing w:val="20"/>
          <w:sz w:val="32"/>
          <w:szCs w:val="32"/>
          <w:shd w:val="clear" w:color="auto" w:fill="FFFFFF"/>
        </w:rPr>
        <w:t>调整为</w:t>
      </w:r>
      <w:r>
        <w:rPr>
          <w:rFonts w:hint="eastAsia" w:ascii="仿宋" w:hAnsi="仿宋" w:eastAsia="仿宋" w:cs="仿宋"/>
          <w:color w:val="auto"/>
          <w:spacing w:val="20"/>
          <w:sz w:val="32"/>
          <w:szCs w:val="32"/>
          <w:shd w:val="clear" w:color="auto" w:fill="FFFFFF"/>
          <w:lang w:val="en-US" w:eastAsia="zh-CN"/>
        </w:rPr>
        <w:t>34.2∶65.8</w:t>
      </w:r>
      <w:r>
        <w:rPr>
          <w:rFonts w:hint="eastAsia" w:ascii="仿宋" w:hAnsi="仿宋" w:eastAsia="仿宋" w:cs="仿宋"/>
          <w:color w:val="auto"/>
          <w:spacing w:val="20"/>
          <w:sz w:val="32"/>
          <w:szCs w:val="32"/>
          <w:shd w:val="clear" w:color="auto" w:fill="FFFFFF"/>
        </w:rPr>
        <w:t>，投资结构不断优化。</w:t>
      </w:r>
    </w:p>
    <w:p>
      <w:pPr>
        <w:pStyle w:val="2"/>
        <w:rPr>
          <w:rFonts w:hint="eastAsia"/>
        </w:rPr>
      </w:pPr>
    </w:p>
    <w:p>
      <w:pPr>
        <w:ind w:left="0" w:leftChars="0" w:firstLine="560" w:firstLineChars="200"/>
        <w:jc w:val="both"/>
        <w:rPr>
          <w:rFonts w:hint="eastAsia" w:ascii="仿宋" w:hAnsi="仿宋" w:eastAsia="仿宋" w:cs="仿宋"/>
          <w:color w:val="auto"/>
          <w:sz w:val="28"/>
          <w:szCs w:val="28"/>
        </w:rPr>
      </w:pPr>
      <w:r>
        <w:rPr>
          <w:rFonts w:hint="eastAsia" w:ascii="仿宋" w:hAnsi="仿宋" w:eastAsia="仿宋" w:cs="仿宋"/>
          <w:color w:val="auto"/>
          <w:sz w:val="28"/>
          <w:szCs w:val="28"/>
        </w:rPr>
        <w:drawing>
          <wp:inline distT="0" distB="0" distL="114300" distR="114300">
            <wp:extent cx="4572000" cy="3295015"/>
            <wp:effectExtent l="4445" t="4445" r="14605" b="15240"/>
            <wp:docPr id="1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2"/>
        <w:rPr>
          <w:rFonts w:hint="eastAsia"/>
        </w:rPr>
      </w:pPr>
    </w:p>
    <w:p>
      <w:pPr>
        <w:keepNext w:val="0"/>
        <w:keepLines w:val="0"/>
        <w:pageBreakBefore w:val="0"/>
        <w:widowControl/>
        <w:kinsoku/>
        <w:wordWrap/>
        <w:overflowPunct/>
        <w:topLinePunct w:val="0"/>
        <w:autoSpaceDE/>
        <w:autoSpaceDN/>
        <w:bidi w:val="0"/>
        <w:adjustRightInd/>
        <w:snapToGrid/>
        <w:ind w:left="0" w:leftChars="0" w:firstLine="720" w:firstLineChars="200"/>
        <w:jc w:val="both"/>
        <w:textAlignment w:val="auto"/>
        <w:rPr>
          <w:rFonts w:hint="eastAsia" w:ascii="楷体" w:hAnsi="楷体" w:eastAsia="楷体" w:cs="楷体"/>
          <w:b w:val="0"/>
          <w:bCs/>
          <w:color w:val="auto"/>
          <w:spacing w:val="20"/>
          <w:sz w:val="32"/>
          <w:szCs w:val="32"/>
        </w:rPr>
      </w:pPr>
      <w:r>
        <w:rPr>
          <w:rFonts w:hint="eastAsia" w:ascii="楷体" w:hAnsi="楷体" w:eastAsia="楷体" w:cs="楷体"/>
          <w:b w:val="0"/>
          <w:bCs/>
          <w:color w:val="auto"/>
          <w:spacing w:val="20"/>
          <w:sz w:val="32"/>
          <w:szCs w:val="32"/>
          <w:shd w:val="clear" w:color="auto" w:fill="FFFFFF"/>
        </w:rPr>
        <w:t>（四）</w:t>
      </w:r>
      <w:r>
        <w:rPr>
          <w:rFonts w:hint="eastAsia" w:ascii="楷体" w:hAnsi="楷体" w:eastAsia="楷体" w:cs="楷体"/>
          <w:b w:val="0"/>
          <w:bCs/>
          <w:color w:val="auto"/>
          <w:spacing w:val="20"/>
          <w:sz w:val="32"/>
          <w:szCs w:val="32"/>
        </w:rPr>
        <w:t>居民消费价格</w:t>
      </w:r>
    </w:p>
    <w:p>
      <w:pPr>
        <w:pStyle w:val="2"/>
        <w:keepNext w:val="0"/>
        <w:keepLines w:val="0"/>
        <w:pageBreakBefore w:val="0"/>
        <w:widowControl/>
        <w:kinsoku/>
        <w:wordWrap/>
        <w:overflowPunct/>
        <w:topLinePunct w:val="0"/>
        <w:autoSpaceDE/>
        <w:autoSpaceDN/>
        <w:bidi w:val="0"/>
        <w:adjustRightInd/>
        <w:snapToGrid/>
        <w:spacing w:line="560" w:lineRule="exact"/>
        <w:ind w:left="0" w:leftChars="0"/>
        <w:textAlignment w:val="baseline"/>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shd w:val="clear" w:color="auto" w:fill="FFFFFF"/>
        </w:rPr>
        <w:t>2021年,海口市居民消费价格同比上涨0.5%。分类别看,食品烟酒价格下降0.3%,衣着价格上涨1.5%,居住价格上涨1.4%,生活用品及服务价格上涨1.2%,交通和通信价格上涨3.4%,教育文化和娱乐价格下降1.2%,医疗保健价格下降1.2%,其他用品和服务价格下降1.3%。</w:t>
      </w:r>
    </w:p>
    <w:p>
      <w:pPr>
        <w:pStyle w:val="2"/>
        <w:keepNext w:val="0"/>
        <w:keepLines w:val="0"/>
        <w:pageBreakBefore w:val="0"/>
        <w:widowControl/>
        <w:kinsoku/>
        <w:wordWrap/>
        <w:overflowPunct/>
        <w:topLinePunct w:val="0"/>
        <w:autoSpaceDE/>
        <w:autoSpaceDN/>
        <w:bidi w:val="0"/>
        <w:adjustRightInd/>
        <w:snapToGrid/>
        <w:spacing w:line="560" w:lineRule="exact"/>
        <w:ind w:left="0" w:leftChars="0"/>
        <w:textAlignment w:val="baseline"/>
        <w:rPr>
          <w:rFonts w:hint="eastAsia" w:ascii="仿宋" w:hAnsi="仿宋" w:eastAsia="仿宋" w:cs="仿宋"/>
          <w:color w:val="auto"/>
          <w:spacing w:val="20"/>
          <w:sz w:val="32"/>
          <w:szCs w:val="32"/>
          <w:shd w:val="clear" w:color="auto" w:fill="FFFFFF"/>
        </w:rPr>
      </w:pPr>
    </w:p>
    <w:tbl>
      <w:tblPr>
        <w:tblStyle w:val="23"/>
        <w:tblW w:w="4951" w:type="pct"/>
        <w:jc w:val="center"/>
        <w:tblLayout w:type="autofit"/>
        <w:tblCellMar>
          <w:top w:w="0" w:type="dxa"/>
          <w:left w:w="108" w:type="dxa"/>
          <w:bottom w:w="0" w:type="dxa"/>
          <w:right w:w="108" w:type="dxa"/>
        </w:tblCellMar>
      </w:tblPr>
      <w:tblGrid>
        <w:gridCol w:w="5097"/>
        <w:gridCol w:w="3341"/>
      </w:tblGrid>
      <w:tr>
        <w:tblPrEx>
          <w:tblCellMar>
            <w:top w:w="0" w:type="dxa"/>
            <w:left w:w="108" w:type="dxa"/>
            <w:bottom w:w="0" w:type="dxa"/>
            <w:right w:w="108" w:type="dxa"/>
          </w:tblCellMar>
        </w:tblPrEx>
        <w:trPr>
          <w:trHeight w:val="148" w:hRule="atLeast"/>
          <w:jc w:val="center"/>
        </w:trPr>
        <w:tc>
          <w:tcPr>
            <w:tcW w:w="5000" w:type="pct"/>
            <w:gridSpan w:val="2"/>
            <w:tcBorders>
              <w:top w:val="nil"/>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表1:居民消费价格指数（CPI）</w:t>
            </w:r>
          </w:p>
        </w:tc>
      </w:tr>
      <w:tr>
        <w:tblPrEx>
          <w:tblCellMar>
            <w:top w:w="0" w:type="dxa"/>
            <w:left w:w="108" w:type="dxa"/>
            <w:bottom w:w="0" w:type="dxa"/>
            <w:right w:w="108" w:type="dxa"/>
          </w:tblCellMar>
        </w:tblPrEx>
        <w:trPr>
          <w:trHeight w:val="151" w:hRule="atLeast"/>
          <w:jc w:val="center"/>
        </w:trPr>
        <w:tc>
          <w:tcPr>
            <w:tcW w:w="3020"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指标名称</w:t>
            </w:r>
          </w:p>
        </w:tc>
        <w:tc>
          <w:tcPr>
            <w:tcW w:w="1979" w:type="pct"/>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default"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2021年涨跌幅（%）</w:t>
            </w:r>
          </w:p>
        </w:tc>
      </w:tr>
      <w:tr>
        <w:tblPrEx>
          <w:tblCellMar>
            <w:top w:w="0" w:type="dxa"/>
            <w:left w:w="108" w:type="dxa"/>
            <w:bottom w:w="0" w:type="dxa"/>
            <w:right w:w="108" w:type="dxa"/>
          </w:tblCellMar>
        </w:tblPrEx>
        <w:trPr>
          <w:trHeight w:val="151" w:hRule="atLeast"/>
          <w:jc w:val="center"/>
        </w:trPr>
        <w:tc>
          <w:tcPr>
            <w:tcW w:w="3020"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居民消费价格指数</w:t>
            </w:r>
          </w:p>
        </w:tc>
        <w:tc>
          <w:tcPr>
            <w:tcW w:w="1979" w:type="pct"/>
            <w:tcBorders>
              <w:top w:val="nil"/>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lang w:val="en-US" w:eastAsia="zh-CN"/>
              </w:rPr>
              <w:t>0.5</w:t>
            </w:r>
          </w:p>
        </w:tc>
      </w:tr>
      <w:tr>
        <w:tblPrEx>
          <w:tblCellMar>
            <w:top w:w="0" w:type="dxa"/>
            <w:left w:w="108" w:type="dxa"/>
            <w:bottom w:w="0" w:type="dxa"/>
            <w:right w:w="108" w:type="dxa"/>
          </w:tblCellMar>
        </w:tblPrEx>
        <w:trPr>
          <w:trHeight w:val="151" w:hRule="atLeast"/>
          <w:jc w:val="center"/>
        </w:trPr>
        <w:tc>
          <w:tcPr>
            <w:tcW w:w="3020"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一、食品烟酒</w:t>
            </w:r>
          </w:p>
        </w:tc>
        <w:tc>
          <w:tcPr>
            <w:tcW w:w="1979" w:type="pct"/>
            <w:tcBorders>
              <w:top w:val="nil"/>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-0.3</w:t>
            </w:r>
          </w:p>
        </w:tc>
      </w:tr>
      <w:tr>
        <w:tblPrEx>
          <w:tblCellMar>
            <w:top w:w="0" w:type="dxa"/>
            <w:left w:w="108" w:type="dxa"/>
            <w:bottom w:w="0" w:type="dxa"/>
            <w:right w:w="108" w:type="dxa"/>
          </w:tblCellMar>
        </w:tblPrEx>
        <w:trPr>
          <w:trHeight w:val="151" w:hRule="atLeast"/>
          <w:jc w:val="center"/>
        </w:trPr>
        <w:tc>
          <w:tcPr>
            <w:tcW w:w="3020"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粮食</w:t>
            </w:r>
          </w:p>
        </w:tc>
        <w:tc>
          <w:tcPr>
            <w:tcW w:w="1979" w:type="pct"/>
            <w:tcBorders>
              <w:top w:val="nil"/>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0.6</w:t>
            </w:r>
          </w:p>
        </w:tc>
      </w:tr>
      <w:tr>
        <w:tblPrEx>
          <w:tblCellMar>
            <w:top w:w="0" w:type="dxa"/>
            <w:left w:w="108" w:type="dxa"/>
            <w:bottom w:w="0" w:type="dxa"/>
            <w:right w:w="108" w:type="dxa"/>
          </w:tblCellMar>
        </w:tblPrEx>
        <w:trPr>
          <w:trHeight w:val="151" w:hRule="atLeast"/>
          <w:jc w:val="center"/>
        </w:trPr>
        <w:tc>
          <w:tcPr>
            <w:tcW w:w="3020"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食用油</w:t>
            </w:r>
          </w:p>
        </w:tc>
        <w:tc>
          <w:tcPr>
            <w:tcW w:w="1979" w:type="pct"/>
            <w:tcBorders>
              <w:top w:val="nil"/>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5.8</w:t>
            </w:r>
          </w:p>
        </w:tc>
      </w:tr>
      <w:tr>
        <w:tblPrEx>
          <w:tblCellMar>
            <w:top w:w="0" w:type="dxa"/>
            <w:left w:w="108" w:type="dxa"/>
            <w:bottom w:w="0" w:type="dxa"/>
            <w:right w:w="108" w:type="dxa"/>
          </w:tblCellMar>
        </w:tblPrEx>
        <w:trPr>
          <w:trHeight w:val="151" w:hRule="atLeast"/>
          <w:jc w:val="center"/>
        </w:trPr>
        <w:tc>
          <w:tcPr>
            <w:tcW w:w="3020"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鲜菜</w:t>
            </w:r>
          </w:p>
        </w:tc>
        <w:tc>
          <w:tcPr>
            <w:tcW w:w="1979" w:type="pct"/>
            <w:tcBorders>
              <w:top w:val="nil"/>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2.0</w:t>
            </w:r>
          </w:p>
        </w:tc>
      </w:tr>
      <w:tr>
        <w:tblPrEx>
          <w:tblCellMar>
            <w:top w:w="0" w:type="dxa"/>
            <w:left w:w="108" w:type="dxa"/>
            <w:bottom w:w="0" w:type="dxa"/>
            <w:right w:w="108" w:type="dxa"/>
          </w:tblCellMar>
        </w:tblPrEx>
        <w:trPr>
          <w:trHeight w:val="151" w:hRule="atLeast"/>
          <w:jc w:val="center"/>
        </w:trPr>
        <w:tc>
          <w:tcPr>
            <w:tcW w:w="3020"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畜肉类</w:t>
            </w:r>
          </w:p>
        </w:tc>
        <w:tc>
          <w:tcPr>
            <w:tcW w:w="1979" w:type="pct"/>
            <w:tcBorders>
              <w:top w:val="nil"/>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-10.1</w:t>
            </w:r>
          </w:p>
        </w:tc>
      </w:tr>
      <w:tr>
        <w:tblPrEx>
          <w:tblCellMar>
            <w:top w:w="0" w:type="dxa"/>
            <w:left w:w="108" w:type="dxa"/>
            <w:bottom w:w="0" w:type="dxa"/>
            <w:right w:w="108" w:type="dxa"/>
          </w:tblCellMar>
        </w:tblPrEx>
        <w:trPr>
          <w:trHeight w:val="151" w:hRule="atLeast"/>
          <w:jc w:val="center"/>
        </w:trPr>
        <w:tc>
          <w:tcPr>
            <w:tcW w:w="3020"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禽肉类</w:t>
            </w:r>
          </w:p>
        </w:tc>
        <w:tc>
          <w:tcPr>
            <w:tcW w:w="1979" w:type="pct"/>
            <w:tcBorders>
              <w:top w:val="nil"/>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-5.9</w:t>
            </w:r>
          </w:p>
        </w:tc>
      </w:tr>
      <w:tr>
        <w:tblPrEx>
          <w:tblCellMar>
            <w:top w:w="0" w:type="dxa"/>
            <w:left w:w="108" w:type="dxa"/>
            <w:bottom w:w="0" w:type="dxa"/>
            <w:right w:w="108" w:type="dxa"/>
          </w:tblCellMar>
        </w:tblPrEx>
        <w:trPr>
          <w:trHeight w:val="151" w:hRule="atLeast"/>
          <w:jc w:val="center"/>
        </w:trPr>
        <w:tc>
          <w:tcPr>
            <w:tcW w:w="3020"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水产品</w:t>
            </w:r>
          </w:p>
        </w:tc>
        <w:tc>
          <w:tcPr>
            <w:tcW w:w="1979" w:type="pct"/>
            <w:tcBorders>
              <w:top w:val="nil"/>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-4.6</w:t>
            </w:r>
          </w:p>
        </w:tc>
      </w:tr>
      <w:tr>
        <w:tblPrEx>
          <w:tblCellMar>
            <w:top w:w="0" w:type="dxa"/>
            <w:left w:w="108" w:type="dxa"/>
            <w:bottom w:w="0" w:type="dxa"/>
            <w:right w:w="108" w:type="dxa"/>
          </w:tblCellMar>
        </w:tblPrEx>
        <w:trPr>
          <w:trHeight w:val="151" w:hRule="atLeast"/>
          <w:jc w:val="center"/>
        </w:trPr>
        <w:tc>
          <w:tcPr>
            <w:tcW w:w="3020"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蛋类</w:t>
            </w:r>
          </w:p>
        </w:tc>
        <w:tc>
          <w:tcPr>
            <w:tcW w:w="1979" w:type="pct"/>
            <w:tcBorders>
              <w:top w:val="nil"/>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1.3</w:t>
            </w:r>
          </w:p>
        </w:tc>
      </w:tr>
      <w:tr>
        <w:tblPrEx>
          <w:tblCellMar>
            <w:top w:w="0" w:type="dxa"/>
            <w:left w:w="108" w:type="dxa"/>
            <w:bottom w:w="0" w:type="dxa"/>
            <w:right w:w="108" w:type="dxa"/>
          </w:tblCellMar>
        </w:tblPrEx>
        <w:trPr>
          <w:trHeight w:val="151" w:hRule="atLeast"/>
          <w:jc w:val="center"/>
        </w:trPr>
        <w:tc>
          <w:tcPr>
            <w:tcW w:w="3020"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奶类</w:t>
            </w:r>
          </w:p>
        </w:tc>
        <w:tc>
          <w:tcPr>
            <w:tcW w:w="1979" w:type="pct"/>
            <w:tcBorders>
              <w:top w:val="nil"/>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3.2</w:t>
            </w:r>
          </w:p>
        </w:tc>
      </w:tr>
      <w:tr>
        <w:tblPrEx>
          <w:tblCellMar>
            <w:top w:w="0" w:type="dxa"/>
            <w:left w:w="108" w:type="dxa"/>
            <w:bottom w:w="0" w:type="dxa"/>
            <w:right w:w="108" w:type="dxa"/>
          </w:tblCellMar>
        </w:tblPrEx>
        <w:trPr>
          <w:trHeight w:val="151" w:hRule="atLeast"/>
          <w:jc w:val="center"/>
        </w:trPr>
        <w:tc>
          <w:tcPr>
            <w:tcW w:w="3020"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鲜瓜果</w:t>
            </w:r>
          </w:p>
        </w:tc>
        <w:tc>
          <w:tcPr>
            <w:tcW w:w="1979" w:type="pct"/>
            <w:tcBorders>
              <w:top w:val="nil"/>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-0.2</w:t>
            </w:r>
          </w:p>
        </w:tc>
      </w:tr>
      <w:tr>
        <w:tblPrEx>
          <w:tblCellMar>
            <w:top w:w="0" w:type="dxa"/>
            <w:left w:w="108" w:type="dxa"/>
            <w:bottom w:w="0" w:type="dxa"/>
            <w:right w:w="108" w:type="dxa"/>
          </w:tblCellMar>
        </w:tblPrEx>
        <w:trPr>
          <w:trHeight w:val="151" w:hRule="atLeast"/>
          <w:jc w:val="center"/>
        </w:trPr>
        <w:tc>
          <w:tcPr>
            <w:tcW w:w="3020"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烟草</w:t>
            </w:r>
          </w:p>
        </w:tc>
        <w:tc>
          <w:tcPr>
            <w:tcW w:w="1979" w:type="pct"/>
            <w:tcBorders>
              <w:top w:val="nil"/>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1.1</w:t>
            </w:r>
          </w:p>
        </w:tc>
      </w:tr>
      <w:tr>
        <w:tblPrEx>
          <w:tblCellMar>
            <w:top w:w="0" w:type="dxa"/>
            <w:left w:w="108" w:type="dxa"/>
            <w:bottom w:w="0" w:type="dxa"/>
            <w:right w:w="108" w:type="dxa"/>
          </w:tblCellMar>
        </w:tblPrEx>
        <w:trPr>
          <w:trHeight w:val="151" w:hRule="atLeast"/>
          <w:jc w:val="center"/>
        </w:trPr>
        <w:tc>
          <w:tcPr>
            <w:tcW w:w="3020"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酒类</w:t>
            </w:r>
          </w:p>
        </w:tc>
        <w:tc>
          <w:tcPr>
            <w:tcW w:w="1979" w:type="pct"/>
            <w:tcBorders>
              <w:top w:val="nil"/>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-1.3</w:t>
            </w:r>
          </w:p>
        </w:tc>
      </w:tr>
      <w:tr>
        <w:tblPrEx>
          <w:tblCellMar>
            <w:top w:w="0" w:type="dxa"/>
            <w:left w:w="108" w:type="dxa"/>
            <w:bottom w:w="0" w:type="dxa"/>
            <w:right w:w="108" w:type="dxa"/>
          </w:tblCellMar>
        </w:tblPrEx>
        <w:trPr>
          <w:trHeight w:val="151" w:hRule="atLeast"/>
          <w:jc w:val="center"/>
        </w:trPr>
        <w:tc>
          <w:tcPr>
            <w:tcW w:w="3020"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二、衣着</w:t>
            </w:r>
          </w:p>
        </w:tc>
        <w:tc>
          <w:tcPr>
            <w:tcW w:w="1979" w:type="pct"/>
            <w:tcBorders>
              <w:top w:val="nil"/>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1.5</w:t>
            </w:r>
          </w:p>
        </w:tc>
      </w:tr>
      <w:tr>
        <w:tblPrEx>
          <w:tblCellMar>
            <w:top w:w="0" w:type="dxa"/>
            <w:left w:w="108" w:type="dxa"/>
            <w:bottom w:w="0" w:type="dxa"/>
            <w:right w:w="108" w:type="dxa"/>
          </w:tblCellMar>
        </w:tblPrEx>
        <w:trPr>
          <w:trHeight w:val="151" w:hRule="atLeast"/>
          <w:jc w:val="center"/>
        </w:trPr>
        <w:tc>
          <w:tcPr>
            <w:tcW w:w="3020"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三、居住</w:t>
            </w:r>
          </w:p>
        </w:tc>
        <w:tc>
          <w:tcPr>
            <w:tcW w:w="1979" w:type="pct"/>
            <w:tcBorders>
              <w:top w:val="nil"/>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1.4</w:t>
            </w:r>
          </w:p>
        </w:tc>
      </w:tr>
      <w:tr>
        <w:tblPrEx>
          <w:tblCellMar>
            <w:top w:w="0" w:type="dxa"/>
            <w:left w:w="108" w:type="dxa"/>
            <w:bottom w:w="0" w:type="dxa"/>
            <w:right w:w="108" w:type="dxa"/>
          </w:tblCellMar>
        </w:tblPrEx>
        <w:trPr>
          <w:trHeight w:val="151" w:hRule="atLeast"/>
          <w:jc w:val="center"/>
        </w:trPr>
        <w:tc>
          <w:tcPr>
            <w:tcW w:w="3020" w:type="pct"/>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四、生活用品及服务</w:t>
            </w:r>
          </w:p>
        </w:tc>
        <w:tc>
          <w:tcPr>
            <w:tcW w:w="1979" w:type="pct"/>
            <w:tcBorders>
              <w:top w:val="nil"/>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1.2</w:t>
            </w:r>
          </w:p>
        </w:tc>
      </w:tr>
      <w:tr>
        <w:tblPrEx>
          <w:tblCellMar>
            <w:top w:w="0" w:type="dxa"/>
            <w:left w:w="108" w:type="dxa"/>
            <w:bottom w:w="0" w:type="dxa"/>
            <w:right w:w="108" w:type="dxa"/>
          </w:tblCellMar>
        </w:tblPrEx>
        <w:trPr>
          <w:trHeight w:val="151" w:hRule="atLeast"/>
          <w:jc w:val="center"/>
        </w:trPr>
        <w:tc>
          <w:tcPr>
            <w:tcW w:w="3020" w:type="pct"/>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五、交通和通信</w:t>
            </w:r>
          </w:p>
        </w:tc>
        <w:tc>
          <w:tcPr>
            <w:tcW w:w="1979" w:type="pct"/>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3.4</w:t>
            </w:r>
          </w:p>
        </w:tc>
      </w:tr>
      <w:tr>
        <w:tblPrEx>
          <w:tblCellMar>
            <w:top w:w="0" w:type="dxa"/>
            <w:left w:w="108" w:type="dxa"/>
            <w:bottom w:w="0" w:type="dxa"/>
            <w:right w:w="108" w:type="dxa"/>
          </w:tblCellMar>
        </w:tblPrEx>
        <w:trPr>
          <w:trHeight w:val="151" w:hRule="atLeast"/>
          <w:jc w:val="center"/>
        </w:trPr>
        <w:tc>
          <w:tcPr>
            <w:tcW w:w="3020" w:type="pct"/>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六、教育文化和娱乐</w:t>
            </w:r>
          </w:p>
        </w:tc>
        <w:tc>
          <w:tcPr>
            <w:tcW w:w="1979" w:type="pct"/>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-1.2</w:t>
            </w:r>
          </w:p>
        </w:tc>
      </w:tr>
      <w:tr>
        <w:tblPrEx>
          <w:tblCellMar>
            <w:top w:w="0" w:type="dxa"/>
            <w:left w:w="108" w:type="dxa"/>
            <w:bottom w:w="0" w:type="dxa"/>
            <w:right w:w="108" w:type="dxa"/>
          </w:tblCellMar>
        </w:tblPrEx>
        <w:trPr>
          <w:trHeight w:val="151" w:hRule="atLeast"/>
          <w:jc w:val="center"/>
        </w:trPr>
        <w:tc>
          <w:tcPr>
            <w:tcW w:w="3020" w:type="pct"/>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七、医疗保健</w:t>
            </w:r>
          </w:p>
        </w:tc>
        <w:tc>
          <w:tcPr>
            <w:tcW w:w="1979" w:type="pct"/>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-1.2</w:t>
            </w:r>
          </w:p>
        </w:tc>
      </w:tr>
      <w:tr>
        <w:tblPrEx>
          <w:tblCellMar>
            <w:top w:w="0" w:type="dxa"/>
            <w:left w:w="108" w:type="dxa"/>
            <w:bottom w:w="0" w:type="dxa"/>
            <w:right w:w="108" w:type="dxa"/>
          </w:tblCellMar>
        </w:tblPrEx>
        <w:trPr>
          <w:trHeight w:val="153" w:hRule="atLeast"/>
          <w:jc w:val="center"/>
        </w:trPr>
        <w:tc>
          <w:tcPr>
            <w:tcW w:w="3020" w:type="pct"/>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八、其他用品和服务</w:t>
            </w:r>
          </w:p>
        </w:tc>
        <w:tc>
          <w:tcPr>
            <w:tcW w:w="1979" w:type="pct"/>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-1.3</w:t>
            </w:r>
          </w:p>
        </w:tc>
      </w:tr>
    </w:tbl>
    <w:p>
      <w:pPr>
        <w:keepNext w:val="0"/>
        <w:keepLines w:val="0"/>
        <w:pageBreakBefore w:val="0"/>
        <w:widowControl w:val="0"/>
        <w:kinsoku/>
        <w:wordWrap/>
        <w:overflowPunct/>
        <w:topLinePunct w:val="0"/>
        <w:autoSpaceDE/>
        <w:autoSpaceDN/>
        <w:bidi w:val="0"/>
        <w:adjustRightInd/>
        <w:snapToGrid/>
        <w:jc w:val="both"/>
        <w:textAlignment w:val="auto"/>
        <w:rPr>
          <w:rFonts w:hint="eastAsia" w:ascii="楷体" w:hAnsi="楷体" w:eastAsia="楷体" w:cs="楷体"/>
          <w:b w:val="0"/>
          <w:bCs/>
          <w:color w:val="auto"/>
          <w:spacing w:val="20"/>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ind w:firstLine="720" w:firstLineChars="200"/>
        <w:jc w:val="both"/>
        <w:textAlignment w:val="auto"/>
        <w:rPr>
          <w:rFonts w:hint="eastAsia" w:ascii="楷体" w:hAnsi="楷体" w:eastAsia="楷体" w:cs="楷体"/>
          <w:b w:val="0"/>
          <w:bCs/>
          <w:snapToGrid w:val="0"/>
          <w:color w:val="auto"/>
          <w:spacing w:val="20"/>
          <w:sz w:val="32"/>
          <w:szCs w:val="32"/>
        </w:rPr>
      </w:pPr>
      <w:r>
        <w:rPr>
          <w:rFonts w:hint="eastAsia" w:ascii="楷体" w:hAnsi="楷体" w:eastAsia="楷体" w:cs="楷体"/>
          <w:b w:val="0"/>
          <w:bCs/>
          <w:color w:val="auto"/>
          <w:spacing w:val="20"/>
          <w:sz w:val="32"/>
          <w:szCs w:val="32"/>
          <w:shd w:val="clear" w:color="auto" w:fill="FFFFFF"/>
        </w:rPr>
        <w:t>（五）江东新区建设</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2021年江东新区建设项目共157个（续建88个，计划新开工69个），总投资1059.71亿元;实现新开工项目69个（政府投资47个、社会投资22个）、完工42个（政府投资38个、社会投资4个）。实现固定投资313.4亿元，年度计划完成率114.38%，同比增长27.09%。其中社会投资155.87亿元、政府投资157.53亿元，社会投资项目固投全区占比从2020年30.28%提升至49.74%，固投贡献率不断提高。江东新区坚持党建引领，做实高标准建设、高质量推进，紧跟海南自由贸易港建设发展新趋势，蹄疾步稳加快江东新区开发建设。</w:t>
      </w:r>
    </w:p>
    <w:p>
      <w:pPr>
        <w:keepNext w:val="0"/>
        <w:keepLines w:val="0"/>
        <w:pageBreakBefore w:val="0"/>
        <w:widowControl/>
        <w:kinsoku/>
        <w:wordWrap/>
        <w:overflowPunct/>
        <w:topLinePunct w:val="0"/>
        <w:autoSpaceDE/>
        <w:autoSpaceDN/>
        <w:bidi w:val="0"/>
        <w:adjustRightInd/>
        <w:snapToGrid/>
        <w:ind w:left="0" w:leftChars="0" w:firstLine="720" w:firstLineChars="200"/>
        <w:jc w:val="both"/>
        <w:textAlignment w:val="auto"/>
        <w:rPr>
          <w:rFonts w:hint="eastAsia" w:ascii="黑体" w:hAnsi="黑体" w:eastAsia="黑体" w:cs="黑体"/>
          <w:b w:val="0"/>
          <w:bCs/>
          <w:color w:val="auto"/>
          <w:spacing w:val="20"/>
          <w:sz w:val="32"/>
          <w:szCs w:val="32"/>
          <w:shd w:val="clear" w:color="auto" w:fill="FFFFFF"/>
        </w:rPr>
      </w:pPr>
      <w:r>
        <w:rPr>
          <w:rFonts w:hint="eastAsia" w:ascii="黑体" w:hAnsi="黑体" w:eastAsia="黑体" w:cs="黑体"/>
          <w:b w:val="0"/>
          <w:bCs/>
          <w:color w:val="auto"/>
          <w:spacing w:val="20"/>
          <w:sz w:val="32"/>
          <w:szCs w:val="32"/>
          <w:shd w:val="clear" w:color="auto" w:fill="FFFFFF"/>
        </w:rPr>
        <w:t>二、人民生活和民生事业</w:t>
      </w:r>
    </w:p>
    <w:p>
      <w:pPr>
        <w:keepNext w:val="0"/>
        <w:keepLines w:val="0"/>
        <w:pageBreakBefore w:val="0"/>
        <w:widowControl/>
        <w:kinsoku/>
        <w:wordWrap/>
        <w:overflowPunct/>
        <w:topLinePunct w:val="0"/>
        <w:autoSpaceDE/>
        <w:autoSpaceDN/>
        <w:bidi w:val="0"/>
        <w:adjustRightInd/>
        <w:snapToGrid/>
        <w:ind w:firstLine="720" w:firstLineChars="200"/>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（一）居民收入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shd w:val="clear" w:color="auto" w:fill="FFFFFF"/>
        </w:rPr>
        <w:t>2021年,海口市居民人均可支配收入38129元,比上年增长8.9%。其中人均工资性收入24895元,增长7.4%;人均经营净收入4857元,增长17.4%;人均财产净收入3316元,增长11.1%;人均转移净收入5061元,增长6.9%。</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shd w:val="clear" w:color="auto" w:fill="FFFFFF"/>
        </w:rPr>
        <w:t>城镇居民人均可支配收入43605元,比上年增长8.9%。其中人均工资性收入29085元,增长7.3%;人均经营净收入4579元,增长21.9%;人均财产净收入4055元,增长11.0%;人均转移净收入5887元,增长6.5%。</w:t>
      </w:r>
    </w:p>
    <w:p>
      <w:pPr>
        <w:widowControl w:val="0"/>
        <w:ind w:left="0" w:leftChars="0" w:firstLine="560" w:firstLineChars="200"/>
        <w:jc w:val="both"/>
        <w:rPr>
          <w:rFonts w:hint="eastAsia" w:ascii="仿宋" w:hAnsi="仿宋" w:eastAsia="仿宋" w:cs="仿宋"/>
          <w:color w:val="auto"/>
          <w:spacing w:val="20"/>
          <w:sz w:val="28"/>
          <w:szCs w:val="28"/>
          <w:shd w:val="clear" w:color="auto" w:fill="FFFFFF"/>
        </w:rPr>
      </w:pPr>
      <w:r>
        <w:rPr>
          <w:rFonts w:hint="eastAsia" w:ascii="仿宋" w:hAnsi="仿宋" w:eastAsia="仿宋" w:cs="仿宋"/>
          <w:color w:val="auto"/>
          <w:sz w:val="28"/>
          <w:szCs w:val="28"/>
        </w:rPr>
        <w:drawing>
          <wp:inline distT="0" distB="0" distL="114300" distR="114300">
            <wp:extent cx="5000625" cy="3257550"/>
            <wp:effectExtent l="0" t="0" r="9525"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keepNext w:val="0"/>
        <w:keepLines w:val="0"/>
        <w:pageBreakBefore w:val="0"/>
        <w:widowControl w:val="0"/>
        <w:kinsoku/>
        <w:wordWrap/>
        <w:overflowPunct/>
        <w:topLinePunct w:val="0"/>
        <w:autoSpaceDE/>
        <w:autoSpaceDN/>
        <w:bidi w:val="0"/>
        <w:adjustRightInd/>
        <w:snapToGrid/>
        <w:spacing w:before="157" w:beforeLines="50"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shd w:val="clear" w:color="auto" w:fill="FFFFFF"/>
        </w:rPr>
        <w:t>农村居民人均可支配收入19267元,比上年增长10.7%。其中人均工资性收入10462元,增长12.0%;人均经营净收入5818元,增长6.4%;人均财产净收入771元,增长19.5%;人均转移净收入2216元,增长13.6%。</w:t>
      </w:r>
    </w:p>
    <w:p>
      <w:pPr>
        <w:pStyle w:val="2"/>
        <w:rPr>
          <w:rFonts w:hint="eastAsia"/>
        </w:rPr>
      </w:pPr>
    </w:p>
    <w:p>
      <w:pPr>
        <w:widowControl w:val="0"/>
        <w:ind w:left="0" w:leftChars="0" w:firstLine="560" w:firstLineChars="200"/>
        <w:jc w:val="center"/>
        <w:rPr>
          <w:rFonts w:hint="eastAsia" w:ascii="仿宋" w:hAnsi="仿宋" w:eastAsia="仿宋" w:cs="仿宋"/>
          <w:b/>
          <w:color w:val="auto"/>
          <w:spacing w:val="20"/>
          <w:sz w:val="28"/>
          <w:szCs w:val="28"/>
          <w:shd w:val="clear" w:color="auto" w:fill="FFFFFF"/>
        </w:rPr>
      </w:pPr>
      <w:r>
        <w:rPr>
          <w:rFonts w:hint="eastAsia" w:ascii="仿宋" w:hAnsi="仿宋" w:eastAsia="仿宋" w:cs="仿宋"/>
          <w:color w:val="auto"/>
          <w:sz w:val="28"/>
          <w:szCs w:val="28"/>
        </w:rPr>
        <w:drawing>
          <wp:inline distT="0" distB="0" distL="114300" distR="114300">
            <wp:extent cx="4980940" cy="3200400"/>
            <wp:effectExtent l="0" t="0" r="10160" b="0"/>
            <wp:docPr id="1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keepNext w:val="0"/>
        <w:keepLines w:val="0"/>
        <w:pageBreakBefore w:val="0"/>
        <w:widowControl/>
        <w:kinsoku/>
        <w:wordWrap/>
        <w:overflowPunct/>
        <w:topLinePunct w:val="0"/>
        <w:autoSpaceDE/>
        <w:autoSpaceDN/>
        <w:bidi w:val="0"/>
        <w:adjustRightInd/>
        <w:snapToGrid/>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（二）社会保障和就业</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shd w:val="clear" w:color="auto" w:fill="FFFFFF"/>
        </w:rPr>
        <w:t>2021年末,养老保险参保人数105.95万人、医疗保险参保人数77.55万人、工伤保险参保人数67.01万人,各险种分别比去年同期增长12.06%、-0.8%、11.67%。全市两项社会保险基金(含养老、工伤)总收入为131</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rPr>
        <w:t>6</w:t>
      </w:r>
      <w:r>
        <w:rPr>
          <w:rFonts w:hint="eastAsia" w:ascii="仿宋" w:hAnsi="仿宋" w:eastAsia="仿宋" w:cs="仿宋"/>
          <w:color w:val="auto"/>
          <w:spacing w:val="20"/>
          <w:sz w:val="32"/>
          <w:szCs w:val="32"/>
          <w:shd w:val="clear" w:color="auto" w:fill="FFFFFF"/>
          <w:lang w:val="en-US" w:eastAsia="zh-CN"/>
        </w:rPr>
        <w:t>8亿</w:t>
      </w:r>
      <w:r>
        <w:rPr>
          <w:rFonts w:hint="eastAsia" w:ascii="仿宋" w:hAnsi="仿宋" w:eastAsia="仿宋" w:cs="仿宋"/>
          <w:color w:val="auto"/>
          <w:spacing w:val="20"/>
          <w:sz w:val="32"/>
          <w:szCs w:val="32"/>
          <w:shd w:val="clear" w:color="auto" w:fill="FFFFFF"/>
        </w:rPr>
        <w:t>元(含企业养老上级补助39</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rPr>
        <w:t>97</w:t>
      </w:r>
      <w:r>
        <w:rPr>
          <w:rFonts w:hint="eastAsia" w:ascii="仿宋" w:hAnsi="仿宋" w:eastAsia="仿宋" w:cs="仿宋"/>
          <w:color w:val="auto"/>
          <w:spacing w:val="20"/>
          <w:sz w:val="32"/>
          <w:szCs w:val="32"/>
          <w:shd w:val="clear" w:color="auto" w:fill="FFFFFF"/>
          <w:lang w:val="en-US" w:eastAsia="zh-CN"/>
        </w:rPr>
        <w:t>亿</w:t>
      </w:r>
      <w:r>
        <w:rPr>
          <w:rFonts w:hint="eastAsia" w:ascii="仿宋" w:hAnsi="仿宋" w:eastAsia="仿宋" w:cs="仿宋"/>
          <w:color w:val="auto"/>
          <w:spacing w:val="20"/>
          <w:sz w:val="32"/>
          <w:szCs w:val="32"/>
          <w:shd w:val="clear" w:color="auto" w:fill="FFFFFF"/>
        </w:rPr>
        <w:t>元),总支出128</w:t>
      </w:r>
      <w:r>
        <w:rPr>
          <w:rFonts w:hint="eastAsia" w:ascii="仿宋" w:hAnsi="仿宋" w:eastAsia="仿宋" w:cs="仿宋"/>
          <w:color w:val="auto"/>
          <w:spacing w:val="20"/>
          <w:sz w:val="32"/>
          <w:szCs w:val="32"/>
          <w:shd w:val="clear" w:color="auto" w:fill="FFFFFF"/>
          <w:lang w:val="en-US" w:eastAsia="zh-CN"/>
        </w:rPr>
        <w:t>.60亿</w:t>
      </w:r>
      <w:r>
        <w:rPr>
          <w:rFonts w:hint="eastAsia" w:ascii="仿宋" w:hAnsi="仿宋" w:eastAsia="仿宋" w:cs="仿宋"/>
          <w:color w:val="auto"/>
          <w:spacing w:val="20"/>
          <w:sz w:val="32"/>
          <w:szCs w:val="32"/>
          <w:shd w:val="clear" w:color="auto" w:fill="FFFFFF"/>
        </w:rPr>
        <w:t>元(含企业养老上解上级74</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rPr>
        <w:t>0</w:t>
      </w:r>
      <w:r>
        <w:rPr>
          <w:rFonts w:hint="eastAsia" w:ascii="仿宋" w:hAnsi="仿宋" w:eastAsia="仿宋" w:cs="仿宋"/>
          <w:color w:val="auto"/>
          <w:spacing w:val="20"/>
          <w:sz w:val="32"/>
          <w:szCs w:val="32"/>
          <w:shd w:val="clear" w:color="auto" w:fill="FFFFFF"/>
          <w:lang w:val="en-US" w:eastAsia="zh-CN"/>
        </w:rPr>
        <w:t>2亿</w:t>
      </w:r>
      <w:r>
        <w:rPr>
          <w:rFonts w:hint="eastAsia" w:ascii="仿宋" w:hAnsi="仿宋" w:eastAsia="仿宋" w:cs="仿宋"/>
          <w:color w:val="auto"/>
          <w:spacing w:val="20"/>
          <w:sz w:val="32"/>
          <w:szCs w:val="32"/>
          <w:shd w:val="clear" w:color="auto" w:fill="FFFFFF"/>
        </w:rPr>
        <w:t>元),当期结余3</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rPr>
        <w:t>08</w:t>
      </w:r>
      <w:r>
        <w:rPr>
          <w:rFonts w:hint="eastAsia" w:ascii="仿宋" w:hAnsi="仿宋" w:eastAsia="仿宋" w:cs="仿宋"/>
          <w:color w:val="auto"/>
          <w:spacing w:val="20"/>
          <w:sz w:val="32"/>
          <w:szCs w:val="32"/>
          <w:shd w:val="clear" w:color="auto" w:fill="FFFFFF"/>
          <w:lang w:val="en-US" w:eastAsia="zh-CN"/>
        </w:rPr>
        <w:t>亿</w:t>
      </w:r>
      <w:r>
        <w:rPr>
          <w:rFonts w:hint="eastAsia" w:ascii="仿宋" w:hAnsi="仿宋" w:eastAsia="仿宋" w:cs="仿宋"/>
          <w:color w:val="auto"/>
          <w:spacing w:val="20"/>
          <w:sz w:val="32"/>
          <w:szCs w:val="32"/>
          <w:shd w:val="clear" w:color="auto" w:fill="FFFFFF"/>
        </w:rPr>
        <w:t>元,累计结余6</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rPr>
        <w:t>78</w:t>
      </w:r>
      <w:r>
        <w:rPr>
          <w:rFonts w:hint="eastAsia" w:ascii="仿宋" w:hAnsi="仿宋" w:eastAsia="仿宋" w:cs="仿宋"/>
          <w:color w:val="auto"/>
          <w:spacing w:val="20"/>
          <w:sz w:val="32"/>
          <w:szCs w:val="32"/>
          <w:shd w:val="clear" w:color="auto" w:fill="FFFFFF"/>
          <w:lang w:val="en-US" w:eastAsia="zh-CN"/>
        </w:rPr>
        <w:t>亿</w:t>
      </w:r>
      <w:r>
        <w:rPr>
          <w:rFonts w:hint="eastAsia" w:ascii="仿宋" w:hAnsi="仿宋" w:eastAsia="仿宋" w:cs="仿宋"/>
          <w:color w:val="auto"/>
          <w:spacing w:val="20"/>
          <w:sz w:val="32"/>
          <w:szCs w:val="32"/>
          <w:shd w:val="clear" w:color="auto" w:fill="FFFFFF"/>
        </w:rPr>
        <w:t>元,全市各项社会保险基金总体运行平稳。工伤保险基金收入1</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rPr>
        <w:t>30</w:t>
      </w:r>
      <w:r>
        <w:rPr>
          <w:rFonts w:hint="eastAsia" w:ascii="仿宋" w:hAnsi="仿宋" w:eastAsia="仿宋" w:cs="仿宋"/>
          <w:color w:val="auto"/>
          <w:spacing w:val="20"/>
          <w:sz w:val="32"/>
          <w:szCs w:val="32"/>
          <w:shd w:val="clear" w:color="auto" w:fill="FFFFFF"/>
          <w:lang w:val="en-US" w:eastAsia="zh-CN"/>
        </w:rPr>
        <w:t>亿</w:t>
      </w:r>
      <w:r>
        <w:rPr>
          <w:rFonts w:hint="eastAsia" w:ascii="仿宋" w:hAnsi="仿宋" w:eastAsia="仿宋" w:cs="仿宋"/>
          <w:color w:val="auto"/>
          <w:spacing w:val="20"/>
          <w:sz w:val="32"/>
          <w:szCs w:val="32"/>
          <w:shd w:val="clear" w:color="auto" w:fill="FFFFFF"/>
        </w:rPr>
        <w:t>元,各项待遇支出</w:t>
      </w:r>
      <w:r>
        <w:rPr>
          <w:rFonts w:hint="eastAsia" w:ascii="仿宋" w:hAnsi="仿宋" w:eastAsia="仿宋" w:cs="仿宋"/>
          <w:color w:val="auto"/>
          <w:spacing w:val="20"/>
          <w:sz w:val="32"/>
          <w:szCs w:val="32"/>
          <w:shd w:val="clear" w:color="auto" w:fill="FFFFFF"/>
          <w:lang w:val="en-US" w:eastAsia="zh-CN"/>
        </w:rPr>
        <w:t>0.</w:t>
      </w:r>
      <w:r>
        <w:rPr>
          <w:rFonts w:hint="eastAsia" w:ascii="仿宋" w:hAnsi="仿宋" w:eastAsia="仿宋" w:cs="仿宋"/>
          <w:color w:val="auto"/>
          <w:spacing w:val="20"/>
          <w:sz w:val="32"/>
          <w:szCs w:val="32"/>
          <w:shd w:val="clear" w:color="auto" w:fill="FFFFFF"/>
        </w:rPr>
        <w:t>68</w:t>
      </w:r>
      <w:r>
        <w:rPr>
          <w:rFonts w:hint="eastAsia" w:ascii="仿宋" w:hAnsi="仿宋" w:eastAsia="仿宋" w:cs="仿宋"/>
          <w:color w:val="auto"/>
          <w:spacing w:val="20"/>
          <w:sz w:val="32"/>
          <w:szCs w:val="32"/>
          <w:shd w:val="clear" w:color="auto" w:fill="FFFFFF"/>
          <w:lang w:val="en-US" w:eastAsia="zh-CN"/>
        </w:rPr>
        <w:t>亿</w:t>
      </w:r>
      <w:r>
        <w:rPr>
          <w:rFonts w:hint="eastAsia" w:ascii="仿宋" w:hAnsi="仿宋" w:eastAsia="仿宋" w:cs="仿宋"/>
          <w:color w:val="auto"/>
          <w:spacing w:val="20"/>
          <w:sz w:val="32"/>
          <w:szCs w:val="32"/>
          <w:shd w:val="clear" w:color="auto" w:fill="FFFFFF"/>
        </w:rPr>
        <w:t>元,工伤保险基金历年累计结余5.03亿元。工伤定期待遇人员267人,需认证245人,已认证241人,完成认证率98%。</w:t>
      </w:r>
    </w:p>
    <w:p>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both"/>
        <w:textAlignment w:val="auto"/>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shd w:val="clear" w:color="auto" w:fill="FFFFFF"/>
        </w:rPr>
        <w:t>海口市新增制发社保卡14.19万张,累计制发社保卡181.76万张,海口地区已累计制发卡232.5万张;激活社保卡152.61万张,整体激活率86.8%;累计签发电子社保卡134.15万张,电子社保卡签发率为46.69%。</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b/>
          <w:color w:val="auto"/>
          <w:spacing w:val="20"/>
          <w:sz w:val="28"/>
          <w:szCs w:val="28"/>
          <w:shd w:val="clear" w:color="auto" w:fill="FFFFFF"/>
        </w:rPr>
      </w:pPr>
      <w:r>
        <w:rPr>
          <w:rFonts w:hint="eastAsia" w:ascii="仿宋" w:hAnsi="仿宋" w:eastAsia="仿宋" w:cs="仿宋"/>
          <w:color w:val="auto"/>
          <w:spacing w:val="20"/>
          <w:sz w:val="32"/>
          <w:szCs w:val="32"/>
          <w:shd w:val="clear" w:color="auto" w:fill="FFFFFF"/>
        </w:rPr>
        <w:t>推动就业形势保持稳定。2021年,全市新增就业人员51561人,完成年任务38600人的133.58%;城镇登记失业人员再就业13438人,完成年任务13000人的103.37%;就业困难对象实现就业3054人,完成年任务2600人的117.46%;转移农村富余劳动力就业人7134,完成年任务7000人的101.91%。失业率为2.67%,控制在3%的年度目标之内,全市就业形势总体保持稳定。全年全市共审批创业担保贷款</w:t>
      </w:r>
      <w:r>
        <w:rPr>
          <w:rFonts w:hint="eastAsia" w:ascii="仿宋" w:hAnsi="仿宋" w:eastAsia="仿宋" w:cs="仿宋"/>
          <w:color w:val="auto"/>
          <w:spacing w:val="20"/>
          <w:sz w:val="28"/>
          <w:szCs w:val="28"/>
          <w:shd w:val="clear" w:color="auto" w:fill="FFFFFF"/>
        </w:rPr>
        <w:t>10078万元,扶持300人自</w:t>
      </w:r>
      <w:r>
        <w:rPr>
          <w:rFonts w:hint="eastAsia" w:ascii="仿宋" w:hAnsi="仿宋" w:eastAsia="仿宋" w:cs="仿宋"/>
          <w:color w:val="auto"/>
          <w:spacing w:val="20"/>
          <w:sz w:val="32"/>
          <w:szCs w:val="32"/>
          <w:shd w:val="clear" w:color="auto" w:fill="FFFFFF"/>
        </w:rPr>
        <w:t>主创业,带动就业1329人(其中扶持个人创业者276人,贷款金额5381万元;扶持小微企业24个,贷款金额4697万元)。</w:t>
      </w:r>
    </w:p>
    <w:p>
      <w:pPr>
        <w:keepNext w:val="0"/>
        <w:keepLines w:val="0"/>
        <w:pageBreakBefore w:val="0"/>
        <w:widowControl/>
        <w:kinsoku/>
        <w:wordWrap/>
        <w:overflowPunct/>
        <w:topLinePunct w:val="0"/>
        <w:autoSpaceDE/>
        <w:autoSpaceDN/>
        <w:bidi w:val="0"/>
        <w:adjustRightInd/>
        <w:snapToGrid/>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lang w:eastAsia="zh-CN"/>
        </w:rPr>
        <w:t>（三）</w:t>
      </w:r>
      <w:r>
        <w:rPr>
          <w:rFonts w:hint="eastAsia" w:ascii="楷体" w:hAnsi="楷体" w:eastAsia="楷体" w:cs="楷体"/>
          <w:b w:val="0"/>
          <w:bCs/>
          <w:color w:val="auto"/>
          <w:spacing w:val="20"/>
          <w:sz w:val="32"/>
          <w:szCs w:val="32"/>
          <w:shd w:val="clear" w:color="auto" w:fill="FFFFFF"/>
        </w:rPr>
        <w:t>教育</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shd w:val="clear" w:color="auto" w:fill="FFFFFF"/>
        </w:rPr>
        <w:t>2021年，海口地区共有普通高等教育学校12所，成人高校1所，在办中等职业学校25所，普通中学103所，普通小学143所，在办幼儿园546所，特殊教育学校5所。研究生招生4609人，在校生1</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rPr>
        <w:t>2</w:t>
      </w:r>
      <w:r>
        <w:rPr>
          <w:rFonts w:hint="eastAsia" w:ascii="仿宋" w:hAnsi="仿宋" w:eastAsia="仿宋" w:cs="仿宋"/>
          <w:color w:val="auto"/>
          <w:spacing w:val="20"/>
          <w:sz w:val="32"/>
          <w:szCs w:val="32"/>
          <w:shd w:val="clear" w:color="auto" w:fill="FFFFFF"/>
          <w:lang w:val="en-US" w:eastAsia="zh-CN"/>
        </w:rPr>
        <w:t>5万</w:t>
      </w:r>
      <w:r>
        <w:rPr>
          <w:rFonts w:hint="eastAsia" w:ascii="仿宋" w:hAnsi="仿宋" w:eastAsia="仿宋" w:cs="仿宋"/>
          <w:color w:val="auto"/>
          <w:spacing w:val="20"/>
          <w:sz w:val="32"/>
          <w:szCs w:val="32"/>
          <w:shd w:val="clear" w:color="auto" w:fill="FFFFFF"/>
        </w:rPr>
        <w:t>人，毕业生2329人；普通高校本专科招生4</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rPr>
        <w:t>83</w:t>
      </w:r>
      <w:r>
        <w:rPr>
          <w:rFonts w:hint="eastAsia" w:ascii="仿宋" w:hAnsi="仿宋" w:eastAsia="仿宋" w:cs="仿宋"/>
          <w:color w:val="auto"/>
          <w:spacing w:val="20"/>
          <w:sz w:val="32"/>
          <w:szCs w:val="32"/>
          <w:shd w:val="clear" w:color="auto" w:fill="FFFFFF"/>
          <w:lang w:eastAsia="zh-CN"/>
        </w:rPr>
        <w:t>万</w:t>
      </w:r>
      <w:r>
        <w:rPr>
          <w:rFonts w:hint="eastAsia" w:ascii="仿宋" w:hAnsi="仿宋" w:eastAsia="仿宋" w:cs="仿宋"/>
          <w:color w:val="auto"/>
          <w:spacing w:val="20"/>
          <w:sz w:val="32"/>
          <w:szCs w:val="32"/>
          <w:shd w:val="clear" w:color="auto" w:fill="FFFFFF"/>
        </w:rPr>
        <w:t>人，在校生16</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rPr>
        <w:t>7</w:t>
      </w:r>
      <w:r>
        <w:rPr>
          <w:rFonts w:hint="eastAsia" w:ascii="仿宋" w:hAnsi="仿宋" w:eastAsia="仿宋" w:cs="仿宋"/>
          <w:color w:val="auto"/>
          <w:spacing w:val="20"/>
          <w:sz w:val="32"/>
          <w:szCs w:val="32"/>
          <w:shd w:val="clear" w:color="auto" w:fill="FFFFFF"/>
          <w:lang w:val="en-US" w:eastAsia="zh-CN"/>
        </w:rPr>
        <w:t>2万</w:t>
      </w:r>
      <w:r>
        <w:rPr>
          <w:rFonts w:hint="eastAsia" w:ascii="仿宋" w:hAnsi="仿宋" w:eastAsia="仿宋" w:cs="仿宋"/>
          <w:color w:val="auto"/>
          <w:spacing w:val="20"/>
          <w:sz w:val="32"/>
          <w:szCs w:val="32"/>
          <w:shd w:val="clear" w:color="auto" w:fill="FFFFFF"/>
        </w:rPr>
        <w:t>人，毕业生3</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rPr>
        <w:t>5</w:t>
      </w:r>
      <w:r>
        <w:rPr>
          <w:rFonts w:hint="eastAsia" w:ascii="仿宋" w:hAnsi="仿宋" w:eastAsia="仿宋" w:cs="仿宋"/>
          <w:color w:val="auto"/>
          <w:spacing w:val="20"/>
          <w:sz w:val="32"/>
          <w:szCs w:val="32"/>
          <w:shd w:val="clear" w:color="auto" w:fill="FFFFFF"/>
          <w:lang w:val="en-US" w:eastAsia="zh-CN"/>
        </w:rPr>
        <w:t>6万</w:t>
      </w:r>
      <w:r>
        <w:rPr>
          <w:rFonts w:hint="eastAsia" w:ascii="仿宋" w:hAnsi="仿宋" w:eastAsia="仿宋" w:cs="仿宋"/>
          <w:color w:val="auto"/>
          <w:spacing w:val="20"/>
          <w:sz w:val="32"/>
          <w:szCs w:val="32"/>
          <w:shd w:val="clear" w:color="auto" w:fill="FFFFFF"/>
        </w:rPr>
        <w:t>人；成人本专科招生1</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rPr>
        <w:t>2</w:t>
      </w:r>
      <w:r>
        <w:rPr>
          <w:rFonts w:hint="eastAsia" w:ascii="仿宋" w:hAnsi="仿宋" w:eastAsia="仿宋" w:cs="仿宋"/>
          <w:color w:val="auto"/>
          <w:spacing w:val="20"/>
          <w:sz w:val="32"/>
          <w:szCs w:val="32"/>
          <w:shd w:val="clear" w:color="auto" w:fill="FFFFFF"/>
          <w:lang w:val="en-US" w:eastAsia="zh-CN"/>
        </w:rPr>
        <w:t>5万</w:t>
      </w:r>
      <w:r>
        <w:rPr>
          <w:rFonts w:hint="eastAsia" w:ascii="仿宋" w:hAnsi="仿宋" w:eastAsia="仿宋" w:cs="仿宋"/>
          <w:color w:val="auto"/>
          <w:spacing w:val="20"/>
          <w:sz w:val="32"/>
          <w:szCs w:val="32"/>
          <w:shd w:val="clear" w:color="auto" w:fill="FFFFFF"/>
        </w:rPr>
        <w:t>人，在校生2</w:t>
      </w:r>
      <w:r>
        <w:rPr>
          <w:rFonts w:hint="eastAsia" w:ascii="仿宋" w:hAnsi="仿宋" w:eastAsia="仿宋" w:cs="仿宋"/>
          <w:color w:val="auto"/>
          <w:spacing w:val="20"/>
          <w:sz w:val="32"/>
          <w:szCs w:val="32"/>
          <w:shd w:val="clear" w:color="auto" w:fill="FFFFFF"/>
          <w:lang w:val="en-US" w:eastAsia="zh-CN"/>
        </w:rPr>
        <w:t>.</w:t>
      </w:r>
      <w:r>
        <w:rPr>
          <w:rFonts w:hint="eastAsia" w:ascii="仿宋" w:hAnsi="仿宋" w:eastAsia="仿宋" w:cs="仿宋"/>
          <w:color w:val="auto"/>
          <w:spacing w:val="20"/>
          <w:sz w:val="32"/>
          <w:szCs w:val="32"/>
          <w:shd w:val="clear" w:color="auto" w:fill="FFFFFF"/>
        </w:rPr>
        <w:t>59</w:t>
      </w:r>
      <w:r>
        <w:rPr>
          <w:rFonts w:hint="eastAsia" w:ascii="仿宋" w:hAnsi="仿宋" w:eastAsia="仿宋" w:cs="仿宋"/>
          <w:color w:val="auto"/>
          <w:spacing w:val="20"/>
          <w:sz w:val="32"/>
          <w:szCs w:val="32"/>
          <w:shd w:val="clear" w:color="auto" w:fill="FFFFFF"/>
          <w:lang w:eastAsia="zh-CN"/>
        </w:rPr>
        <w:t>万</w:t>
      </w:r>
      <w:r>
        <w:rPr>
          <w:rFonts w:hint="eastAsia" w:ascii="仿宋" w:hAnsi="仿宋" w:eastAsia="仿宋" w:cs="仿宋"/>
          <w:color w:val="auto"/>
          <w:spacing w:val="20"/>
          <w:sz w:val="32"/>
          <w:szCs w:val="32"/>
          <w:shd w:val="clear" w:color="auto" w:fill="FFFFFF"/>
        </w:rPr>
        <w:t>人，毕业生6324人；中等职业学校招生2.92万人，在校生7.4</w:t>
      </w:r>
      <w:r>
        <w:rPr>
          <w:rFonts w:hint="eastAsia" w:ascii="仿宋" w:hAnsi="仿宋" w:eastAsia="仿宋" w:cs="仿宋"/>
          <w:color w:val="auto"/>
          <w:spacing w:val="20"/>
          <w:sz w:val="32"/>
          <w:szCs w:val="32"/>
          <w:shd w:val="clear" w:color="auto" w:fill="FFFFFF"/>
          <w:lang w:val="en-US" w:eastAsia="zh-CN"/>
        </w:rPr>
        <w:t>7</w:t>
      </w:r>
      <w:r>
        <w:rPr>
          <w:rFonts w:hint="eastAsia" w:ascii="仿宋" w:hAnsi="仿宋" w:eastAsia="仿宋" w:cs="仿宋"/>
          <w:color w:val="auto"/>
          <w:spacing w:val="20"/>
          <w:sz w:val="32"/>
          <w:szCs w:val="32"/>
          <w:shd w:val="clear" w:color="auto" w:fill="FFFFFF"/>
        </w:rPr>
        <w:t>万人，毕业生2.1</w:t>
      </w:r>
      <w:r>
        <w:rPr>
          <w:rFonts w:hint="eastAsia" w:ascii="仿宋" w:hAnsi="仿宋" w:eastAsia="仿宋" w:cs="仿宋"/>
          <w:color w:val="auto"/>
          <w:spacing w:val="20"/>
          <w:sz w:val="32"/>
          <w:szCs w:val="32"/>
          <w:shd w:val="clear" w:color="auto" w:fill="FFFFFF"/>
          <w:lang w:val="en-US" w:eastAsia="zh-CN"/>
        </w:rPr>
        <w:t>6</w:t>
      </w:r>
      <w:r>
        <w:rPr>
          <w:rFonts w:hint="eastAsia" w:ascii="仿宋" w:hAnsi="仿宋" w:eastAsia="仿宋" w:cs="仿宋"/>
          <w:color w:val="auto"/>
          <w:spacing w:val="20"/>
          <w:sz w:val="32"/>
          <w:szCs w:val="32"/>
          <w:shd w:val="clear" w:color="auto" w:fill="FFFFFF"/>
        </w:rPr>
        <w:t>万人；普通高中招生2.0</w:t>
      </w:r>
      <w:r>
        <w:rPr>
          <w:rFonts w:hint="eastAsia" w:ascii="仿宋" w:hAnsi="仿宋" w:eastAsia="仿宋" w:cs="仿宋"/>
          <w:color w:val="auto"/>
          <w:spacing w:val="20"/>
          <w:sz w:val="32"/>
          <w:szCs w:val="32"/>
          <w:shd w:val="clear" w:color="auto" w:fill="FFFFFF"/>
          <w:lang w:val="en-US" w:eastAsia="zh-CN"/>
        </w:rPr>
        <w:t>5</w:t>
      </w:r>
      <w:r>
        <w:rPr>
          <w:rFonts w:hint="eastAsia" w:ascii="仿宋" w:hAnsi="仿宋" w:eastAsia="仿宋" w:cs="仿宋"/>
          <w:color w:val="auto"/>
          <w:spacing w:val="20"/>
          <w:sz w:val="32"/>
          <w:szCs w:val="32"/>
          <w:shd w:val="clear" w:color="auto" w:fill="FFFFFF"/>
        </w:rPr>
        <w:t>万人，在校生5.</w:t>
      </w:r>
      <w:r>
        <w:rPr>
          <w:rFonts w:hint="eastAsia" w:ascii="仿宋" w:hAnsi="仿宋" w:eastAsia="仿宋" w:cs="仿宋"/>
          <w:color w:val="auto"/>
          <w:spacing w:val="20"/>
          <w:sz w:val="32"/>
          <w:szCs w:val="32"/>
          <w:shd w:val="clear" w:color="auto" w:fill="FFFFFF"/>
          <w:lang w:val="en-US" w:eastAsia="zh-CN"/>
        </w:rPr>
        <w:t>70</w:t>
      </w:r>
      <w:r>
        <w:rPr>
          <w:rFonts w:hint="eastAsia" w:ascii="仿宋" w:hAnsi="仿宋" w:eastAsia="仿宋" w:cs="仿宋"/>
          <w:color w:val="auto"/>
          <w:spacing w:val="20"/>
          <w:sz w:val="32"/>
          <w:szCs w:val="32"/>
          <w:shd w:val="clear" w:color="auto" w:fill="FFFFFF"/>
        </w:rPr>
        <w:t>万人，毕业生1.48万人；普通初中招生3.57万人，在校生10.03万人，毕业生2.95万人；普通小学招生4.1</w:t>
      </w:r>
      <w:r>
        <w:rPr>
          <w:rFonts w:hint="eastAsia" w:ascii="仿宋" w:hAnsi="仿宋" w:eastAsia="仿宋" w:cs="仿宋"/>
          <w:color w:val="auto"/>
          <w:spacing w:val="20"/>
          <w:sz w:val="32"/>
          <w:szCs w:val="32"/>
          <w:shd w:val="clear" w:color="auto" w:fill="FFFFFF"/>
          <w:lang w:val="en-US" w:eastAsia="zh-CN"/>
        </w:rPr>
        <w:t>3</w:t>
      </w:r>
      <w:r>
        <w:rPr>
          <w:rFonts w:hint="eastAsia" w:ascii="仿宋" w:hAnsi="仿宋" w:eastAsia="仿宋" w:cs="仿宋"/>
          <w:color w:val="auto"/>
          <w:spacing w:val="20"/>
          <w:sz w:val="32"/>
          <w:szCs w:val="32"/>
          <w:shd w:val="clear" w:color="auto" w:fill="FFFFFF"/>
        </w:rPr>
        <w:t>万人，在校生23.48万人，毕业生3.</w:t>
      </w:r>
      <w:r>
        <w:rPr>
          <w:rFonts w:hint="eastAsia" w:ascii="仿宋" w:hAnsi="仿宋" w:eastAsia="仿宋" w:cs="仿宋"/>
          <w:color w:val="auto"/>
          <w:spacing w:val="20"/>
          <w:sz w:val="32"/>
          <w:szCs w:val="32"/>
          <w:shd w:val="clear" w:color="auto" w:fill="FFFFFF"/>
          <w:lang w:val="en-US" w:eastAsia="zh-CN"/>
        </w:rPr>
        <w:t>40</w:t>
      </w:r>
      <w:r>
        <w:rPr>
          <w:rFonts w:hint="eastAsia" w:ascii="仿宋" w:hAnsi="仿宋" w:eastAsia="仿宋" w:cs="仿宋"/>
          <w:color w:val="auto"/>
          <w:spacing w:val="20"/>
          <w:sz w:val="32"/>
          <w:szCs w:val="32"/>
          <w:shd w:val="clear" w:color="auto" w:fill="FFFFFF"/>
        </w:rPr>
        <w:t>万人；学前教育招生3.5</w:t>
      </w:r>
      <w:r>
        <w:rPr>
          <w:rFonts w:hint="eastAsia" w:ascii="仿宋" w:hAnsi="仿宋" w:eastAsia="仿宋" w:cs="仿宋"/>
          <w:color w:val="auto"/>
          <w:spacing w:val="20"/>
          <w:sz w:val="32"/>
          <w:szCs w:val="32"/>
          <w:shd w:val="clear" w:color="auto" w:fill="FFFFFF"/>
          <w:lang w:val="en-US" w:eastAsia="zh-CN"/>
        </w:rPr>
        <w:t>6</w:t>
      </w:r>
      <w:r>
        <w:rPr>
          <w:rFonts w:hint="eastAsia" w:ascii="仿宋" w:hAnsi="仿宋" w:eastAsia="仿宋" w:cs="仿宋"/>
          <w:color w:val="auto"/>
          <w:spacing w:val="20"/>
          <w:sz w:val="32"/>
          <w:szCs w:val="32"/>
          <w:shd w:val="clear" w:color="auto" w:fill="FFFFFF"/>
        </w:rPr>
        <w:t>万人，在校生11.1</w:t>
      </w:r>
      <w:r>
        <w:rPr>
          <w:rFonts w:hint="eastAsia" w:ascii="仿宋" w:hAnsi="仿宋" w:eastAsia="仿宋" w:cs="仿宋"/>
          <w:color w:val="auto"/>
          <w:spacing w:val="20"/>
          <w:sz w:val="32"/>
          <w:szCs w:val="32"/>
          <w:shd w:val="clear" w:color="auto" w:fill="FFFFFF"/>
          <w:lang w:val="en-US" w:eastAsia="zh-CN"/>
        </w:rPr>
        <w:t>4</w:t>
      </w:r>
      <w:r>
        <w:rPr>
          <w:rFonts w:hint="eastAsia" w:ascii="仿宋" w:hAnsi="仿宋" w:eastAsia="仿宋" w:cs="仿宋"/>
          <w:color w:val="auto"/>
          <w:spacing w:val="20"/>
          <w:sz w:val="32"/>
          <w:szCs w:val="32"/>
          <w:shd w:val="clear" w:color="auto" w:fill="FFFFFF"/>
        </w:rPr>
        <w:t>万人，毕业生3.51万人；特殊教育招生138人，在校生667人，毕业生160人。初中毛入学率为104.51%，小学毛入学率为102.34%。</w:t>
      </w:r>
    </w:p>
    <w:p>
      <w:pPr>
        <w:keepNext w:val="0"/>
        <w:keepLines w:val="0"/>
        <w:pageBreakBefore w:val="0"/>
        <w:widowControl/>
        <w:kinsoku/>
        <w:wordWrap/>
        <w:overflowPunct/>
        <w:topLinePunct w:val="0"/>
        <w:autoSpaceDE/>
        <w:autoSpaceDN/>
        <w:bidi w:val="0"/>
        <w:adjustRightInd/>
        <w:snapToGrid/>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（四）医疗卫生</w:t>
      </w:r>
    </w:p>
    <w:p>
      <w:pPr>
        <w:pStyle w:val="13"/>
        <w:ind w:left="0" w:leftChars="0" w:firstLine="600"/>
        <w:jc w:val="both"/>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根据2021年国家卫生统计信息网络直报系统数据分析，全市（省、市、区属各单位）共有各级各类医疗卫生机构1437个。其中，医院79个，社区卫生服务中心（站）121个，卫生院26个，村卫生室264个，门诊部178个，诊所、卫生所、医务室730个，疾控预防控制中心6个（专科精神病医院4家），专科疾病防治院（所、站）2个，妇幼保健院（所、站）7个，急救中心（站）3个，计划生育技术服务机构5个。共有卫生技术人员31954人。其中，执业医师和执业助理医师11332人，注册护士16159人。共有医疗卫生机构床位数20710张。其中，医院床位17700张，妇幼保健院（所、站）1123张，社区卫生服务中心（站）809张，乡镇卫生院床位328张。</w:t>
      </w:r>
    </w:p>
    <w:p>
      <w:pPr>
        <w:pStyle w:val="13"/>
        <w:keepNext w:val="0"/>
        <w:keepLines w:val="0"/>
        <w:pageBreakBefore w:val="0"/>
        <w:kinsoku/>
        <w:wordWrap/>
        <w:overflowPunct/>
        <w:topLinePunct w:val="0"/>
        <w:autoSpaceDE/>
        <w:autoSpaceDN/>
        <w:bidi w:val="0"/>
        <w:adjustRightInd/>
        <w:snapToGrid/>
        <w:spacing w:line="560" w:lineRule="exact"/>
        <w:ind w:left="0" w:leftChars="0" w:firstLine="6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截至12月31日，全市累计接种新冠疫苗645.64万剂，其中第一剂累计接种271.28万剂，占3岁以上人群97.78%，占全人群94.41%；第二剂累计接种261.47万剂，占3岁以上人群94.83%，占全人群91.56%；加强免疫剂累计接种112.90万剂。</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（五）乡村振兴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2021年，热带特色高效农业取得新进展，打造出海口东山现代农业产业园等一批省级现代农业示范基地；推动海口美兰区入选全国农业科技现代化先行县共建名单。品牌兴农战略大力推进，我市涉农知名商标4297个，知名农业品牌持有量约占全省40%。农业社会化服务体系建设加快，琼山区获批全国第六批率先基本实现主要农作物生产全程机械化示范县。农村集体产权制度改革取得阶段性成果，我市已成立海口农村产权交易中心。全市农村裸露土地种草绿化面积1453.14亩；今年完成农村户厕化粪池防渗漏改造7000户工作任务。开展消费扶贫促进扶贫农产品销售，全市共举办线下消费扶贫集市107场，销售总金额307.93万元，贫困户受益16584户次；三专”消费扶贫情况，其中：省级扶贫专馆2个,市县扶贫专馆3个,市县扶贫专区6个,消费扶贫专柜78个,共计销售专三613.10万元。通过开展消费扶贫，拓宽了贫困户农产品销路，极大促进了扶贫农产品产销。</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（六）安全生产</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shd w:val="clear" w:color="auto" w:fill="FFFFFF"/>
        </w:rPr>
        <w:t>2021年度,全市发生各类生产安全事故(以录入生产安全事故统计信息直报系统为准)51起,死亡47人,与2020年同比减少2起、1人,分别下降3.8%、2.1%;与2019年同比减少20起、4人,分别下降28.2%、7.8%。</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720" w:firstLineChars="200"/>
        <w:jc w:val="both"/>
        <w:textAlignment w:val="auto"/>
        <w:rPr>
          <w:rFonts w:hint="eastAsia" w:ascii="黑体" w:hAnsi="黑体" w:eastAsia="黑体" w:cs="黑体"/>
          <w:b w:val="0"/>
          <w:bCs/>
          <w:color w:val="auto"/>
          <w:spacing w:val="20"/>
          <w:sz w:val="32"/>
          <w:szCs w:val="32"/>
          <w:shd w:val="clear" w:color="auto" w:fill="FFFFFF"/>
        </w:rPr>
      </w:pPr>
      <w:r>
        <w:rPr>
          <w:rFonts w:hint="eastAsia" w:ascii="黑体" w:hAnsi="黑体" w:eastAsia="黑体" w:cs="黑体"/>
          <w:b w:val="0"/>
          <w:bCs/>
          <w:color w:val="auto"/>
          <w:spacing w:val="20"/>
          <w:sz w:val="32"/>
          <w:szCs w:val="32"/>
          <w:shd w:val="clear" w:color="auto" w:fill="FFFFFF"/>
          <w:lang w:eastAsia="zh-CN"/>
        </w:rPr>
        <w:t>三、</w:t>
      </w:r>
      <w:r>
        <w:rPr>
          <w:rFonts w:hint="eastAsia" w:ascii="黑体" w:hAnsi="黑体" w:eastAsia="黑体" w:cs="黑体"/>
          <w:b w:val="0"/>
          <w:bCs/>
          <w:color w:val="auto"/>
          <w:spacing w:val="20"/>
          <w:sz w:val="32"/>
          <w:szCs w:val="32"/>
          <w:shd w:val="clear" w:color="auto" w:fill="FFFFFF"/>
        </w:rPr>
        <w:t>国民经济各行业</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（一）农林牧渔业</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shd w:val="clear" w:color="auto" w:fill="FFFFFF"/>
        </w:rPr>
        <w:t>2021年，全市实现农林牧渔业产值135.3亿元，比上年增长6.0%。其中，种植业74.84亿元，增长1.3%；畜牧业31.33亿元，增长17.3%；林业7.2亿元，增长2.8%；渔业12.19亿元，增长1.1%；农林牧渔服务业9.74亿元，增长6.9%。</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shd w:val="clear" w:color="auto" w:fill="FFFFFF"/>
        </w:rPr>
        <w:t>全年农作物总播种面积148.75万亩，比上年下降1.9%。粮食播种面积29.9万亩，比上年下降4%。油料播种面积4.27万亩，增长2.8%。蔬菜播种面积37.77万亩，下降6%。水果种植面积26.75万亩，增长1.2%。橡胶种植面积17.53万亩，增长24.3%。胡椒种植面积5.29万亩，</w:t>
      </w:r>
      <w:r>
        <w:rPr>
          <w:rFonts w:hint="eastAsia" w:ascii="仿宋" w:hAnsi="仿宋" w:eastAsia="仿宋" w:cs="仿宋"/>
          <w:color w:val="auto"/>
          <w:spacing w:val="20"/>
          <w:sz w:val="32"/>
          <w:szCs w:val="32"/>
          <w:shd w:val="clear" w:color="auto" w:fill="FFFFFF"/>
          <w:lang w:eastAsia="zh-CN"/>
        </w:rPr>
        <w:t>与上年持平</w:t>
      </w:r>
      <w:r>
        <w:rPr>
          <w:rFonts w:hint="eastAsia" w:ascii="仿宋" w:hAnsi="仿宋" w:eastAsia="仿宋" w:cs="仿宋"/>
          <w:color w:val="auto"/>
          <w:spacing w:val="20"/>
          <w:sz w:val="32"/>
          <w:szCs w:val="32"/>
          <w:shd w:val="clear" w:color="auto" w:fill="FFFFFF"/>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bidi="ar"/>
        </w:rPr>
      </w:pPr>
      <w:r>
        <w:rPr>
          <w:rFonts w:hint="eastAsia" w:ascii="仿宋" w:hAnsi="仿宋" w:eastAsia="仿宋" w:cs="仿宋"/>
          <w:color w:val="auto"/>
          <w:spacing w:val="20"/>
          <w:sz w:val="32"/>
          <w:szCs w:val="32"/>
          <w:shd w:val="clear" w:color="auto" w:fill="FFFFFF"/>
        </w:rPr>
        <w:t>全年粮食总产量达10.23万吨，比上年下降2.9%；油料作物产量0.59万吨，下降11.9%；水果产量24.3万吨，增长0.2%；蔬菜产量50.26万吨，下降6.9%；水产品产量5.1万吨，增长3.9%。</w:t>
      </w:r>
      <w:r>
        <w:rPr>
          <w:rFonts w:hint="eastAsia" w:ascii="仿宋" w:hAnsi="仿宋" w:eastAsia="仿宋" w:cs="仿宋"/>
          <w:color w:val="auto"/>
          <w:spacing w:val="20"/>
          <w:sz w:val="32"/>
          <w:szCs w:val="32"/>
          <w:shd w:val="clear" w:color="auto" w:fill="FFFFFF"/>
          <w:lang w:bidi="ar"/>
        </w:rPr>
        <w:t>畜牧业生产止降为升。生猪出栏量39.42万头，同比增长116.3%；猪肉产量3.4万吨，同比增长130.01%。牛出栏1.52万头、羊出栏6.87万只，分别下降5.7%和增长1.6%。</w:t>
      </w:r>
    </w:p>
    <w:p>
      <w:pPr>
        <w:pStyle w:val="2"/>
        <w:rPr>
          <w:rFonts w:hint="eastAsia"/>
        </w:rPr>
      </w:pPr>
    </w:p>
    <w:p>
      <w:pPr>
        <w:ind w:left="0" w:leftChars="0"/>
        <w:jc w:val="center"/>
        <w:rPr>
          <w:rFonts w:hint="eastAsia" w:ascii="仿宋" w:hAnsi="仿宋" w:eastAsia="仿宋" w:cs="仿宋"/>
          <w:color w:val="auto"/>
          <w:sz w:val="28"/>
          <w:szCs w:val="28"/>
        </w:rPr>
      </w:pPr>
      <w:r>
        <w:rPr>
          <w:rFonts w:hint="eastAsia" w:ascii="仿宋" w:hAnsi="仿宋" w:eastAsia="仿宋" w:cs="仿宋"/>
          <w:color w:val="auto"/>
          <w:sz w:val="28"/>
          <w:szCs w:val="28"/>
        </w:rPr>
        <w:t>表2:2021年主要农产品产量及增长速度</w:t>
      </w:r>
    </w:p>
    <w:tbl>
      <w:tblPr>
        <w:tblStyle w:val="23"/>
        <w:tblW w:w="7437" w:type="dxa"/>
        <w:jc w:val="center"/>
        <w:tblLayout w:type="fixed"/>
        <w:tblCellMar>
          <w:top w:w="0" w:type="dxa"/>
          <w:left w:w="108" w:type="dxa"/>
          <w:bottom w:w="0" w:type="dxa"/>
          <w:right w:w="108" w:type="dxa"/>
        </w:tblCellMar>
      </w:tblPr>
      <w:tblGrid>
        <w:gridCol w:w="1546"/>
        <w:gridCol w:w="1060"/>
        <w:gridCol w:w="2489"/>
        <w:gridCol w:w="2342"/>
      </w:tblGrid>
      <w:tr>
        <w:tblPrEx>
          <w:tblCellMar>
            <w:top w:w="0" w:type="dxa"/>
            <w:left w:w="108" w:type="dxa"/>
            <w:bottom w:w="0" w:type="dxa"/>
            <w:right w:w="108" w:type="dxa"/>
          </w:tblCellMar>
        </w:tblPrEx>
        <w:trPr>
          <w:trHeight w:val="90" w:hRule="atLeast"/>
          <w:jc w:val="center"/>
        </w:trPr>
        <w:tc>
          <w:tcPr>
            <w:tcW w:w="1546" w:type="dxa"/>
            <w:tcBorders>
              <w:top w:val="single" w:color="000000" w:sz="8" w:space="0"/>
              <w:left w:val="nil"/>
              <w:bottom w:val="nil"/>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产品名称</w:t>
            </w:r>
          </w:p>
        </w:tc>
        <w:tc>
          <w:tcPr>
            <w:tcW w:w="1060" w:type="dxa"/>
            <w:tcBorders>
              <w:top w:val="single" w:color="000000" w:sz="8" w:space="0"/>
              <w:left w:val="nil"/>
              <w:bottom w:val="nil"/>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单位</w:t>
            </w:r>
          </w:p>
        </w:tc>
        <w:tc>
          <w:tcPr>
            <w:tcW w:w="2489" w:type="dxa"/>
            <w:tcBorders>
              <w:top w:val="single" w:color="000000" w:sz="8" w:space="0"/>
              <w:left w:val="nil"/>
              <w:bottom w:val="nil"/>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产量</w:t>
            </w:r>
          </w:p>
        </w:tc>
        <w:tc>
          <w:tcPr>
            <w:tcW w:w="2342" w:type="dxa"/>
            <w:tcBorders>
              <w:top w:val="single" w:color="000000" w:sz="8" w:space="0"/>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比上年增长（%）</w:t>
            </w:r>
          </w:p>
        </w:tc>
      </w:tr>
      <w:tr>
        <w:tblPrEx>
          <w:tblCellMar>
            <w:top w:w="0" w:type="dxa"/>
            <w:left w:w="108" w:type="dxa"/>
            <w:bottom w:w="0" w:type="dxa"/>
            <w:right w:w="108" w:type="dxa"/>
          </w:tblCellMar>
        </w:tblPrEx>
        <w:trPr>
          <w:trHeight w:val="90" w:hRule="atLeas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早稻</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4.32</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-3.7</w:t>
            </w:r>
          </w:p>
        </w:tc>
      </w:tr>
      <w:tr>
        <w:tblPrEx>
          <w:tblCellMar>
            <w:top w:w="0" w:type="dxa"/>
            <w:left w:w="108" w:type="dxa"/>
            <w:bottom w:w="0" w:type="dxa"/>
            <w:right w:w="108" w:type="dxa"/>
          </w:tblCellMar>
        </w:tblPrEx>
        <w:trPr>
          <w:trHeight w:val="90" w:hRule="atLeas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晚稻</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4.2</w:t>
            </w:r>
            <w:r>
              <w:rPr>
                <w:rFonts w:hint="eastAsia" w:ascii="仿宋" w:hAnsi="仿宋" w:eastAsia="仿宋" w:cs="仿宋"/>
                <w:color w:val="auto"/>
                <w:sz w:val="28"/>
                <w:szCs w:val="28"/>
                <w:lang w:val="en-US" w:eastAsia="zh-CN"/>
              </w:rPr>
              <w:t>0</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-0.7</w:t>
            </w:r>
          </w:p>
        </w:tc>
      </w:tr>
      <w:tr>
        <w:tblPrEx>
          <w:tblCellMar>
            <w:top w:w="0" w:type="dxa"/>
            <w:left w:w="108" w:type="dxa"/>
            <w:bottom w:w="0" w:type="dxa"/>
            <w:right w:w="108" w:type="dxa"/>
          </w:tblCellMar>
        </w:tblPrEx>
        <w:trPr>
          <w:trHeight w:val="90" w:hRule="atLeas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油料</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0.59</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-11.9</w:t>
            </w:r>
          </w:p>
        </w:tc>
      </w:tr>
      <w:tr>
        <w:tblPrEx>
          <w:tblCellMar>
            <w:top w:w="0" w:type="dxa"/>
            <w:left w:w="108" w:type="dxa"/>
            <w:bottom w:w="0" w:type="dxa"/>
            <w:right w:w="108" w:type="dxa"/>
          </w:tblCellMar>
        </w:tblPrEx>
        <w:trPr>
          <w:trHeight w:val="90" w:hRule="atLeas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花生</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0.53</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-13</w:t>
            </w:r>
            <w:r>
              <w:rPr>
                <w:rFonts w:hint="eastAsia" w:ascii="仿宋" w:hAnsi="仿宋" w:eastAsia="仿宋" w:cs="仿宋"/>
                <w:color w:val="auto"/>
                <w:sz w:val="28"/>
                <w:szCs w:val="28"/>
                <w:lang w:val="en-US" w:eastAsia="zh-CN"/>
              </w:rPr>
              <w:t>.0</w:t>
            </w:r>
          </w:p>
        </w:tc>
      </w:tr>
      <w:tr>
        <w:tblPrEx>
          <w:tblCellMar>
            <w:top w:w="0" w:type="dxa"/>
            <w:left w:w="108" w:type="dxa"/>
            <w:bottom w:w="0" w:type="dxa"/>
            <w:right w:w="108" w:type="dxa"/>
          </w:tblCellMar>
        </w:tblPrEx>
        <w:trPr>
          <w:trHeight w:val="90" w:hRule="atLeas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水果</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24.3</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0.2</w:t>
            </w:r>
          </w:p>
        </w:tc>
      </w:tr>
      <w:tr>
        <w:tblPrEx>
          <w:tblCellMar>
            <w:top w:w="0" w:type="dxa"/>
            <w:left w:w="108" w:type="dxa"/>
            <w:bottom w:w="0" w:type="dxa"/>
            <w:right w:w="108" w:type="dxa"/>
          </w:tblCellMar>
        </w:tblPrEx>
        <w:trPr>
          <w:trHeight w:val="90" w:hRule="atLeas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蔬菜</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50.26</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-6.9</w:t>
            </w:r>
          </w:p>
        </w:tc>
      </w:tr>
      <w:tr>
        <w:tblPrEx>
          <w:tblCellMar>
            <w:top w:w="0" w:type="dxa"/>
            <w:left w:w="108" w:type="dxa"/>
            <w:bottom w:w="0" w:type="dxa"/>
            <w:right w:w="108" w:type="dxa"/>
          </w:tblCellMar>
        </w:tblPrEx>
        <w:trPr>
          <w:trHeight w:val="90" w:hRule="atLeas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橡胶</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0.37</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-3.7</w:t>
            </w:r>
          </w:p>
        </w:tc>
      </w:tr>
      <w:tr>
        <w:tblPrEx>
          <w:tblCellMar>
            <w:top w:w="0" w:type="dxa"/>
            <w:left w:w="108" w:type="dxa"/>
            <w:bottom w:w="0" w:type="dxa"/>
            <w:right w:w="108" w:type="dxa"/>
          </w:tblCellMar>
        </w:tblPrEx>
        <w:trPr>
          <w:trHeight w:val="90" w:hRule="atLeas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胡椒</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0.55</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3.9</w:t>
            </w:r>
          </w:p>
        </w:tc>
      </w:tr>
    </w:tbl>
    <w:p>
      <w:pPr>
        <w:ind w:left="0" w:leftChars="0"/>
        <w:jc w:val="center"/>
        <w:rPr>
          <w:rFonts w:hint="eastAsia" w:ascii="仿宋" w:hAnsi="仿宋" w:eastAsia="仿宋" w:cs="仿宋"/>
          <w:b/>
          <w:color w:val="auto"/>
          <w:spacing w:val="20"/>
          <w:sz w:val="28"/>
          <w:szCs w:val="28"/>
          <w:shd w:val="clear" w:color="auto" w:fill="FFFFFF"/>
        </w:rPr>
      </w:pPr>
      <w:r>
        <w:rPr>
          <w:rFonts w:hint="eastAsia" w:ascii="仿宋" w:hAnsi="仿宋" w:eastAsia="仿宋" w:cs="仿宋"/>
          <w:color w:val="auto"/>
          <w:sz w:val="28"/>
          <w:szCs w:val="28"/>
        </w:rPr>
        <w:drawing>
          <wp:inline distT="0" distB="0" distL="114300" distR="114300">
            <wp:extent cx="4572000" cy="2743200"/>
            <wp:effectExtent l="4445" t="4445" r="14605" b="1460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ind w:left="0" w:leftChars="0"/>
        <w:jc w:val="both"/>
        <w:rPr>
          <w:rFonts w:hint="eastAsia" w:ascii="仿宋" w:hAnsi="仿宋" w:eastAsia="仿宋" w:cs="仿宋"/>
          <w:b/>
          <w:color w:val="auto"/>
          <w:spacing w:val="20"/>
          <w:sz w:val="28"/>
          <w:szCs w:val="28"/>
          <w:shd w:val="clear" w:color="auto" w:fill="FFFFFF"/>
        </w:rPr>
      </w:pPr>
    </w:p>
    <w:p>
      <w:pPr>
        <w:keepNext w:val="0"/>
        <w:keepLines w:val="0"/>
        <w:pageBreakBefore w:val="0"/>
        <w:widowControl/>
        <w:kinsoku/>
        <w:wordWrap/>
        <w:overflowPunct/>
        <w:topLinePunct w:val="0"/>
        <w:autoSpaceDE/>
        <w:autoSpaceDN/>
        <w:bidi w:val="0"/>
        <w:adjustRightInd/>
        <w:snapToGrid/>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（二）工业和建筑业</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b w:val="0"/>
          <w:bCs/>
          <w:color w:val="auto"/>
          <w:spacing w:val="20"/>
          <w:sz w:val="32"/>
          <w:szCs w:val="32"/>
          <w:shd w:val="clear" w:color="auto" w:fill="FFFFFF"/>
        </w:rPr>
      </w:pPr>
      <w:r>
        <w:rPr>
          <w:rFonts w:hint="eastAsia" w:ascii="仿宋" w:hAnsi="仿宋" w:eastAsia="仿宋" w:cs="仿宋"/>
          <w:b w:val="0"/>
          <w:bCs/>
          <w:color w:val="auto"/>
          <w:spacing w:val="20"/>
          <w:sz w:val="32"/>
          <w:szCs w:val="32"/>
          <w:shd w:val="clear" w:color="auto" w:fill="FFFFFF"/>
        </w:rPr>
        <w:t>1.工业</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shd w:val="clear" w:color="auto" w:fill="FFFFFF"/>
        </w:rPr>
        <w:t>2021年，</w:t>
      </w:r>
      <w:r>
        <w:rPr>
          <w:rFonts w:hint="eastAsia" w:ascii="仿宋" w:hAnsi="仿宋" w:eastAsia="仿宋" w:cs="仿宋"/>
          <w:color w:val="auto"/>
          <w:spacing w:val="20"/>
          <w:sz w:val="32"/>
          <w:szCs w:val="32"/>
        </w:rPr>
        <w:t>我市工业经济整体稳步增长，</w:t>
      </w:r>
      <w:r>
        <w:rPr>
          <w:rFonts w:hint="eastAsia" w:ascii="仿宋" w:hAnsi="仿宋" w:eastAsia="仿宋" w:cs="仿宋"/>
          <w:color w:val="auto"/>
          <w:spacing w:val="20"/>
          <w:sz w:val="32"/>
          <w:szCs w:val="32"/>
          <w:shd w:val="clear" w:color="auto" w:fill="FFFFFF"/>
        </w:rPr>
        <w:t>全市规模以上工业企业有</w:t>
      </w:r>
      <w:r>
        <w:rPr>
          <w:rFonts w:hint="eastAsia" w:ascii="仿宋" w:hAnsi="仿宋" w:eastAsia="仿宋" w:cs="仿宋"/>
          <w:color w:val="auto"/>
          <w:spacing w:val="20"/>
          <w:sz w:val="32"/>
          <w:szCs w:val="32"/>
          <w:shd w:val="clear" w:color="auto" w:fill="FFFFFF"/>
          <w:lang w:val="en-US" w:eastAsia="zh-CN"/>
        </w:rPr>
        <w:t>175</w:t>
      </w:r>
      <w:r>
        <w:rPr>
          <w:rFonts w:hint="eastAsia" w:ascii="仿宋" w:hAnsi="仿宋" w:eastAsia="仿宋" w:cs="仿宋"/>
          <w:color w:val="auto"/>
          <w:spacing w:val="20"/>
          <w:sz w:val="32"/>
          <w:szCs w:val="32"/>
          <w:shd w:val="clear" w:color="auto" w:fill="FFFFFF"/>
        </w:rPr>
        <w:t>家，比上年增加</w:t>
      </w:r>
      <w:r>
        <w:rPr>
          <w:rFonts w:hint="eastAsia" w:ascii="仿宋" w:hAnsi="仿宋" w:eastAsia="仿宋" w:cs="仿宋"/>
          <w:color w:val="auto"/>
          <w:spacing w:val="20"/>
          <w:sz w:val="32"/>
          <w:szCs w:val="32"/>
          <w:shd w:val="clear" w:color="auto" w:fill="FFFFFF"/>
          <w:lang w:val="en-US" w:eastAsia="zh-CN"/>
        </w:rPr>
        <w:t>24</w:t>
      </w:r>
      <w:r>
        <w:rPr>
          <w:rFonts w:hint="eastAsia" w:ascii="仿宋" w:hAnsi="仿宋" w:eastAsia="仿宋" w:cs="仿宋"/>
          <w:color w:val="auto"/>
          <w:spacing w:val="20"/>
          <w:sz w:val="32"/>
          <w:szCs w:val="32"/>
          <w:shd w:val="clear" w:color="auto" w:fill="FFFFFF"/>
        </w:rPr>
        <w:t>家；实现规模以上工业总产值</w:t>
      </w:r>
      <w:r>
        <w:rPr>
          <w:rFonts w:hint="eastAsia" w:ascii="仿宋" w:hAnsi="仿宋" w:eastAsia="仿宋" w:cs="仿宋"/>
          <w:color w:val="auto"/>
          <w:spacing w:val="20"/>
          <w:sz w:val="32"/>
          <w:szCs w:val="32"/>
          <w:shd w:val="clear" w:color="auto" w:fill="FFFFFF"/>
          <w:lang w:val="en-US" w:eastAsia="zh-CN"/>
        </w:rPr>
        <w:t>640</w:t>
      </w:r>
      <w:r>
        <w:rPr>
          <w:rFonts w:hint="eastAsia" w:ascii="仿宋" w:hAnsi="仿宋" w:eastAsia="仿宋" w:cs="仿宋"/>
          <w:color w:val="auto"/>
          <w:spacing w:val="20"/>
          <w:sz w:val="32"/>
          <w:szCs w:val="32"/>
          <w:shd w:val="clear" w:color="auto" w:fill="FFFFFF"/>
        </w:rPr>
        <w:t>亿元，同比增长</w:t>
      </w:r>
      <w:r>
        <w:rPr>
          <w:rFonts w:hint="eastAsia" w:ascii="仿宋" w:hAnsi="仿宋" w:eastAsia="仿宋" w:cs="仿宋"/>
          <w:color w:val="auto"/>
          <w:spacing w:val="20"/>
          <w:sz w:val="32"/>
          <w:szCs w:val="32"/>
          <w:shd w:val="clear" w:color="auto" w:fill="FFFFFF"/>
          <w:lang w:val="en-US" w:eastAsia="zh-CN"/>
        </w:rPr>
        <w:t>10.7</w:t>
      </w:r>
      <w:r>
        <w:rPr>
          <w:rFonts w:hint="eastAsia" w:ascii="仿宋" w:hAnsi="仿宋" w:eastAsia="仿宋" w:cs="仿宋"/>
          <w:color w:val="auto"/>
          <w:spacing w:val="20"/>
          <w:sz w:val="32"/>
          <w:szCs w:val="32"/>
          <w:shd w:val="clear" w:color="auto" w:fill="FFFFFF"/>
        </w:rPr>
        <w:t>%。其中产值超十亿元的企业有</w:t>
      </w:r>
      <w:r>
        <w:rPr>
          <w:rFonts w:hint="eastAsia" w:ascii="仿宋" w:hAnsi="仿宋" w:eastAsia="仿宋" w:cs="仿宋"/>
          <w:color w:val="auto"/>
          <w:spacing w:val="20"/>
          <w:sz w:val="32"/>
          <w:szCs w:val="32"/>
          <w:shd w:val="clear" w:color="auto" w:fill="FFFFFF"/>
          <w:lang w:val="en-US" w:eastAsia="zh-CN"/>
        </w:rPr>
        <w:t>17</w:t>
      </w:r>
      <w:r>
        <w:rPr>
          <w:rFonts w:hint="eastAsia" w:ascii="仿宋" w:hAnsi="仿宋" w:eastAsia="仿宋" w:cs="仿宋"/>
          <w:color w:val="auto"/>
          <w:spacing w:val="20"/>
          <w:sz w:val="32"/>
          <w:szCs w:val="32"/>
          <w:shd w:val="clear" w:color="auto" w:fill="FFFFFF"/>
        </w:rPr>
        <w:t>家，超亿元的企业有</w:t>
      </w:r>
      <w:r>
        <w:rPr>
          <w:rFonts w:hint="eastAsia" w:ascii="仿宋" w:hAnsi="仿宋" w:eastAsia="仿宋" w:cs="仿宋"/>
          <w:color w:val="auto"/>
          <w:spacing w:val="20"/>
          <w:sz w:val="32"/>
          <w:szCs w:val="32"/>
          <w:shd w:val="clear" w:color="auto" w:fill="FFFFFF"/>
          <w:lang w:val="en-US" w:eastAsia="zh-CN"/>
        </w:rPr>
        <w:t>100</w:t>
      </w:r>
      <w:r>
        <w:rPr>
          <w:rFonts w:hint="eastAsia" w:ascii="仿宋" w:hAnsi="仿宋" w:eastAsia="仿宋" w:cs="仿宋"/>
          <w:color w:val="auto"/>
          <w:spacing w:val="20"/>
          <w:sz w:val="32"/>
          <w:szCs w:val="32"/>
          <w:shd w:val="clear" w:color="auto" w:fill="FFFFFF"/>
        </w:rPr>
        <w:t>家。产值超亿元企业共完成工业产值</w:t>
      </w:r>
      <w:r>
        <w:rPr>
          <w:rFonts w:hint="eastAsia" w:ascii="仿宋" w:hAnsi="仿宋" w:eastAsia="仿宋" w:cs="仿宋"/>
          <w:color w:val="auto"/>
          <w:spacing w:val="20"/>
          <w:sz w:val="32"/>
          <w:szCs w:val="32"/>
          <w:shd w:val="clear" w:color="auto" w:fill="FFFFFF"/>
          <w:lang w:val="en-US" w:eastAsia="zh-CN"/>
        </w:rPr>
        <w:t>607.2</w:t>
      </w:r>
      <w:r>
        <w:rPr>
          <w:rFonts w:hint="eastAsia" w:ascii="仿宋" w:hAnsi="仿宋" w:eastAsia="仿宋" w:cs="仿宋"/>
          <w:color w:val="auto"/>
          <w:spacing w:val="20"/>
          <w:sz w:val="32"/>
          <w:szCs w:val="32"/>
          <w:shd w:val="clear" w:color="auto" w:fill="FFFFFF"/>
        </w:rPr>
        <w:t>亿元，占全市规模以上工业总产值的</w:t>
      </w:r>
      <w:r>
        <w:rPr>
          <w:rFonts w:hint="eastAsia" w:ascii="仿宋" w:hAnsi="仿宋" w:eastAsia="仿宋" w:cs="仿宋"/>
          <w:color w:val="auto"/>
          <w:spacing w:val="20"/>
          <w:sz w:val="32"/>
          <w:szCs w:val="32"/>
          <w:shd w:val="clear" w:color="auto" w:fill="FFFFFF"/>
          <w:lang w:val="en-US" w:eastAsia="zh-CN"/>
        </w:rPr>
        <w:t>94.9</w:t>
      </w:r>
      <w:r>
        <w:rPr>
          <w:rFonts w:hint="eastAsia" w:ascii="仿宋" w:hAnsi="仿宋" w:eastAsia="仿宋" w:cs="仿宋"/>
          <w:color w:val="auto"/>
          <w:spacing w:val="20"/>
          <w:sz w:val="32"/>
          <w:szCs w:val="32"/>
          <w:shd w:val="clear" w:color="auto" w:fill="FFFFFF"/>
        </w:rPr>
        <w:t>%。</w:t>
      </w:r>
    </w:p>
    <w:p>
      <w:pPr>
        <w:keepNext w:val="0"/>
        <w:keepLines w:val="0"/>
        <w:pageBreakBefore w:val="0"/>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shd w:val="clear" w:color="auto" w:fill="FFFFFF"/>
        </w:rPr>
        <w:t>规模以上工业总产值中，轻工业完成产值</w:t>
      </w:r>
      <w:r>
        <w:rPr>
          <w:rFonts w:hint="eastAsia" w:ascii="仿宋" w:hAnsi="仿宋" w:eastAsia="仿宋" w:cs="仿宋"/>
          <w:color w:val="auto"/>
          <w:spacing w:val="20"/>
          <w:sz w:val="32"/>
          <w:szCs w:val="32"/>
          <w:shd w:val="clear" w:color="auto" w:fill="FFFFFF"/>
          <w:lang w:val="en-US" w:eastAsia="zh-CN"/>
        </w:rPr>
        <w:t>395.4</w:t>
      </w:r>
      <w:r>
        <w:rPr>
          <w:rFonts w:hint="eastAsia" w:ascii="仿宋" w:hAnsi="仿宋" w:eastAsia="仿宋" w:cs="仿宋"/>
          <w:color w:val="auto"/>
          <w:spacing w:val="20"/>
          <w:sz w:val="32"/>
          <w:szCs w:val="32"/>
          <w:shd w:val="clear" w:color="auto" w:fill="FFFFFF"/>
        </w:rPr>
        <w:t>亿元，增长</w:t>
      </w:r>
      <w:r>
        <w:rPr>
          <w:rFonts w:hint="eastAsia" w:ascii="仿宋" w:hAnsi="仿宋" w:eastAsia="仿宋" w:cs="仿宋"/>
          <w:color w:val="auto"/>
          <w:spacing w:val="20"/>
          <w:sz w:val="32"/>
          <w:szCs w:val="32"/>
          <w:shd w:val="clear" w:color="auto" w:fill="FFFFFF"/>
          <w:lang w:val="en-US" w:eastAsia="zh-CN"/>
        </w:rPr>
        <w:t>1.5</w:t>
      </w:r>
      <w:r>
        <w:rPr>
          <w:rFonts w:hint="eastAsia" w:ascii="仿宋" w:hAnsi="仿宋" w:eastAsia="仿宋" w:cs="仿宋"/>
          <w:color w:val="auto"/>
          <w:spacing w:val="20"/>
          <w:sz w:val="32"/>
          <w:szCs w:val="32"/>
          <w:shd w:val="clear" w:color="auto" w:fill="FFFFFF"/>
        </w:rPr>
        <w:t>%；重工业完成产值</w:t>
      </w:r>
      <w:r>
        <w:rPr>
          <w:rFonts w:hint="eastAsia" w:ascii="仿宋" w:hAnsi="仿宋" w:eastAsia="仿宋" w:cs="仿宋"/>
          <w:color w:val="auto"/>
          <w:spacing w:val="20"/>
          <w:sz w:val="32"/>
          <w:szCs w:val="32"/>
          <w:shd w:val="clear" w:color="auto" w:fill="FFFFFF"/>
          <w:lang w:val="en-US" w:eastAsia="zh-CN"/>
        </w:rPr>
        <w:t>244.6</w:t>
      </w:r>
      <w:r>
        <w:rPr>
          <w:rFonts w:hint="eastAsia" w:ascii="仿宋" w:hAnsi="仿宋" w:eastAsia="仿宋" w:cs="仿宋"/>
          <w:color w:val="auto"/>
          <w:spacing w:val="20"/>
          <w:sz w:val="32"/>
          <w:szCs w:val="32"/>
          <w:shd w:val="clear" w:color="auto" w:fill="FFFFFF"/>
        </w:rPr>
        <w:t>亿元，增长</w:t>
      </w:r>
      <w:r>
        <w:rPr>
          <w:rFonts w:hint="eastAsia" w:ascii="仿宋" w:hAnsi="仿宋" w:eastAsia="仿宋" w:cs="仿宋"/>
          <w:color w:val="auto"/>
          <w:spacing w:val="20"/>
          <w:sz w:val="32"/>
          <w:szCs w:val="32"/>
          <w:shd w:val="clear" w:color="auto" w:fill="FFFFFF"/>
          <w:lang w:val="en-US" w:eastAsia="zh-CN"/>
        </w:rPr>
        <w:t>4.5</w:t>
      </w:r>
      <w:r>
        <w:rPr>
          <w:rFonts w:hint="eastAsia" w:ascii="仿宋" w:hAnsi="仿宋" w:eastAsia="仿宋" w:cs="仿宋"/>
          <w:color w:val="auto"/>
          <w:spacing w:val="20"/>
          <w:sz w:val="32"/>
          <w:szCs w:val="32"/>
          <w:shd w:val="clear" w:color="auto" w:fill="FFFFFF"/>
        </w:rPr>
        <w:t>%，轻重工业产值之比为</w:t>
      </w:r>
      <w:r>
        <w:rPr>
          <w:rFonts w:hint="eastAsia" w:ascii="仿宋" w:hAnsi="仿宋" w:eastAsia="仿宋" w:cs="仿宋"/>
          <w:color w:val="auto"/>
          <w:spacing w:val="20"/>
          <w:sz w:val="32"/>
          <w:szCs w:val="32"/>
          <w:shd w:val="clear" w:color="auto" w:fill="FFFFFF"/>
          <w:lang w:val="en-US" w:eastAsia="zh-CN"/>
        </w:rPr>
        <w:t>62∶38</w:t>
      </w:r>
      <w:r>
        <w:rPr>
          <w:rFonts w:hint="eastAsia" w:ascii="仿宋" w:hAnsi="仿宋" w:eastAsia="仿宋" w:cs="仿宋"/>
          <w:color w:val="auto"/>
          <w:spacing w:val="20"/>
          <w:sz w:val="32"/>
          <w:szCs w:val="32"/>
          <w:shd w:val="clear" w:color="auto" w:fill="FFFFFF"/>
        </w:rPr>
        <w:t>。分行业看，医药制造业完成</w:t>
      </w:r>
      <w:r>
        <w:rPr>
          <w:rFonts w:hint="eastAsia" w:ascii="仿宋" w:hAnsi="仿宋" w:eastAsia="仿宋" w:cs="仿宋"/>
          <w:color w:val="auto"/>
          <w:spacing w:val="20"/>
          <w:sz w:val="32"/>
          <w:szCs w:val="32"/>
          <w:shd w:val="clear" w:color="auto" w:fill="FFFFFF"/>
          <w:lang w:val="en-US" w:eastAsia="zh-CN"/>
        </w:rPr>
        <w:t>234.4</w:t>
      </w:r>
      <w:r>
        <w:rPr>
          <w:rFonts w:hint="eastAsia" w:ascii="仿宋" w:hAnsi="仿宋" w:eastAsia="仿宋" w:cs="仿宋"/>
          <w:color w:val="auto"/>
          <w:spacing w:val="20"/>
          <w:sz w:val="32"/>
          <w:szCs w:val="32"/>
          <w:shd w:val="clear" w:color="auto" w:fill="FFFFFF"/>
        </w:rPr>
        <w:t>亿元</w:t>
      </w:r>
      <w:r>
        <w:rPr>
          <w:rFonts w:hint="eastAsia" w:ascii="仿宋" w:hAnsi="仿宋" w:eastAsia="仿宋" w:cs="仿宋"/>
          <w:color w:val="auto"/>
          <w:spacing w:val="20"/>
          <w:sz w:val="32"/>
          <w:szCs w:val="32"/>
          <w:shd w:val="clear" w:color="auto" w:fill="FFFFFF"/>
          <w:lang w:eastAsia="zh-CN"/>
        </w:rPr>
        <w:t>，</w:t>
      </w:r>
      <w:r>
        <w:rPr>
          <w:rFonts w:hint="eastAsia" w:ascii="仿宋" w:hAnsi="仿宋" w:eastAsia="仿宋" w:cs="仿宋"/>
          <w:color w:val="auto"/>
          <w:spacing w:val="20"/>
          <w:sz w:val="32"/>
          <w:szCs w:val="32"/>
          <w:shd w:val="clear" w:color="auto" w:fill="FFFFFF"/>
        </w:rPr>
        <w:t>下降</w:t>
      </w:r>
      <w:r>
        <w:rPr>
          <w:rFonts w:hint="eastAsia" w:ascii="仿宋" w:hAnsi="仿宋" w:eastAsia="仿宋" w:cs="仿宋"/>
          <w:color w:val="auto"/>
          <w:spacing w:val="20"/>
          <w:sz w:val="32"/>
          <w:szCs w:val="32"/>
          <w:shd w:val="clear" w:color="auto" w:fill="FFFFFF"/>
          <w:lang w:val="en-US" w:eastAsia="zh-CN"/>
        </w:rPr>
        <w:t>2.9</w:t>
      </w:r>
      <w:r>
        <w:rPr>
          <w:rFonts w:hint="eastAsia" w:ascii="仿宋" w:hAnsi="仿宋" w:eastAsia="仿宋" w:cs="仿宋"/>
          <w:color w:val="auto"/>
          <w:spacing w:val="20"/>
          <w:sz w:val="32"/>
          <w:szCs w:val="32"/>
          <w:shd w:val="clear" w:color="auto" w:fill="FFFFFF"/>
        </w:rPr>
        <w:t>%；电气机械和器材制造业完成</w:t>
      </w:r>
      <w:r>
        <w:rPr>
          <w:rFonts w:hint="eastAsia" w:ascii="仿宋" w:hAnsi="仿宋" w:eastAsia="仿宋" w:cs="仿宋"/>
          <w:color w:val="auto"/>
          <w:spacing w:val="20"/>
          <w:sz w:val="32"/>
          <w:szCs w:val="32"/>
          <w:shd w:val="clear" w:color="auto" w:fill="FFFFFF"/>
          <w:lang w:val="en-US" w:eastAsia="zh-CN"/>
        </w:rPr>
        <w:t>54</w:t>
      </w:r>
      <w:r>
        <w:rPr>
          <w:rFonts w:hint="eastAsia" w:ascii="仿宋" w:hAnsi="仿宋" w:eastAsia="仿宋" w:cs="仿宋"/>
          <w:color w:val="auto"/>
          <w:spacing w:val="20"/>
          <w:sz w:val="32"/>
          <w:szCs w:val="32"/>
          <w:shd w:val="clear" w:color="auto" w:fill="FFFFFF"/>
        </w:rPr>
        <w:t>亿元，增长</w:t>
      </w:r>
      <w:r>
        <w:rPr>
          <w:rFonts w:hint="eastAsia" w:ascii="仿宋" w:hAnsi="仿宋" w:eastAsia="仿宋" w:cs="仿宋"/>
          <w:color w:val="auto"/>
          <w:spacing w:val="20"/>
          <w:sz w:val="32"/>
          <w:szCs w:val="32"/>
          <w:shd w:val="clear" w:color="auto" w:fill="FFFFFF"/>
          <w:lang w:val="en-US" w:eastAsia="zh-CN"/>
        </w:rPr>
        <w:t>12.6</w:t>
      </w:r>
      <w:r>
        <w:rPr>
          <w:rFonts w:hint="eastAsia" w:ascii="仿宋" w:hAnsi="仿宋" w:eastAsia="仿宋" w:cs="仿宋"/>
          <w:color w:val="auto"/>
          <w:spacing w:val="20"/>
          <w:sz w:val="32"/>
          <w:szCs w:val="32"/>
          <w:shd w:val="clear" w:color="auto" w:fill="FFFFFF"/>
        </w:rPr>
        <w:t>%；汽车制造业完成</w:t>
      </w:r>
      <w:r>
        <w:rPr>
          <w:rFonts w:hint="eastAsia" w:ascii="仿宋" w:hAnsi="仿宋" w:eastAsia="仿宋" w:cs="仿宋"/>
          <w:color w:val="auto"/>
          <w:spacing w:val="20"/>
          <w:sz w:val="32"/>
          <w:szCs w:val="32"/>
          <w:shd w:val="clear" w:color="auto" w:fill="FFFFFF"/>
          <w:lang w:val="en-US" w:eastAsia="zh-CN"/>
        </w:rPr>
        <w:t>18.5</w:t>
      </w:r>
      <w:r>
        <w:rPr>
          <w:rFonts w:hint="eastAsia" w:ascii="仿宋" w:hAnsi="仿宋" w:eastAsia="仿宋" w:cs="仿宋"/>
          <w:color w:val="auto"/>
          <w:spacing w:val="20"/>
          <w:sz w:val="32"/>
          <w:szCs w:val="32"/>
          <w:shd w:val="clear" w:color="auto" w:fill="FFFFFF"/>
        </w:rPr>
        <w:t>亿元，增长</w:t>
      </w:r>
      <w:r>
        <w:rPr>
          <w:rFonts w:hint="eastAsia" w:ascii="仿宋" w:hAnsi="仿宋" w:eastAsia="仿宋" w:cs="仿宋"/>
          <w:color w:val="auto"/>
          <w:spacing w:val="20"/>
          <w:sz w:val="32"/>
          <w:szCs w:val="32"/>
          <w:shd w:val="clear" w:color="auto" w:fill="FFFFFF"/>
          <w:lang w:val="en-US" w:eastAsia="zh-CN"/>
        </w:rPr>
        <w:t>111.7</w:t>
      </w:r>
      <w:r>
        <w:rPr>
          <w:rFonts w:hint="eastAsia" w:ascii="仿宋" w:hAnsi="仿宋" w:eastAsia="仿宋" w:cs="仿宋"/>
          <w:color w:val="auto"/>
          <w:spacing w:val="20"/>
          <w:sz w:val="32"/>
          <w:szCs w:val="32"/>
          <w:shd w:val="clear" w:color="auto" w:fill="FFFFFF"/>
        </w:rPr>
        <w:t>%；电力、热力、燃气及水生产和供应业完成</w:t>
      </w:r>
      <w:r>
        <w:rPr>
          <w:rFonts w:hint="eastAsia" w:ascii="仿宋" w:hAnsi="仿宋" w:eastAsia="仿宋" w:cs="仿宋"/>
          <w:color w:val="auto"/>
          <w:spacing w:val="20"/>
          <w:sz w:val="32"/>
          <w:szCs w:val="32"/>
          <w:shd w:val="clear" w:color="auto" w:fill="FFFFFF"/>
          <w:lang w:val="en-US" w:eastAsia="zh-CN"/>
        </w:rPr>
        <w:t>71.4</w:t>
      </w:r>
      <w:r>
        <w:rPr>
          <w:rFonts w:hint="eastAsia" w:ascii="仿宋" w:hAnsi="仿宋" w:eastAsia="仿宋" w:cs="仿宋"/>
          <w:color w:val="auto"/>
          <w:spacing w:val="20"/>
          <w:sz w:val="32"/>
          <w:szCs w:val="32"/>
          <w:shd w:val="clear" w:color="auto" w:fill="FFFFFF"/>
        </w:rPr>
        <w:t>亿元，增长</w:t>
      </w:r>
      <w:r>
        <w:rPr>
          <w:rFonts w:hint="eastAsia" w:ascii="仿宋" w:hAnsi="仿宋" w:eastAsia="仿宋" w:cs="仿宋"/>
          <w:color w:val="auto"/>
          <w:spacing w:val="20"/>
          <w:sz w:val="32"/>
          <w:szCs w:val="32"/>
          <w:shd w:val="clear" w:color="auto" w:fill="FFFFFF"/>
          <w:lang w:val="en-US" w:eastAsia="zh-CN"/>
        </w:rPr>
        <w:t>18.1</w:t>
      </w:r>
      <w:r>
        <w:rPr>
          <w:rFonts w:hint="eastAsia" w:ascii="仿宋" w:hAnsi="仿宋" w:eastAsia="仿宋" w:cs="仿宋"/>
          <w:color w:val="auto"/>
          <w:spacing w:val="20"/>
          <w:sz w:val="32"/>
          <w:szCs w:val="32"/>
          <w:shd w:val="clear" w:color="auto" w:fill="FFFFFF"/>
        </w:rPr>
        <w:t>%；食品制造业完成</w:t>
      </w:r>
      <w:r>
        <w:rPr>
          <w:rFonts w:hint="eastAsia" w:ascii="仿宋" w:hAnsi="仿宋" w:eastAsia="仿宋" w:cs="仿宋"/>
          <w:color w:val="auto"/>
          <w:spacing w:val="20"/>
          <w:sz w:val="32"/>
          <w:szCs w:val="32"/>
          <w:shd w:val="clear" w:color="auto" w:fill="FFFFFF"/>
          <w:lang w:val="en-US" w:eastAsia="zh-CN"/>
        </w:rPr>
        <w:t>44.2</w:t>
      </w:r>
      <w:r>
        <w:rPr>
          <w:rFonts w:hint="eastAsia" w:ascii="仿宋" w:hAnsi="仿宋" w:eastAsia="仿宋" w:cs="仿宋"/>
          <w:color w:val="auto"/>
          <w:spacing w:val="20"/>
          <w:sz w:val="32"/>
          <w:szCs w:val="32"/>
          <w:shd w:val="clear" w:color="auto" w:fill="FFFFFF"/>
        </w:rPr>
        <w:t>亿元，增长</w:t>
      </w:r>
      <w:r>
        <w:rPr>
          <w:rFonts w:hint="eastAsia" w:ascii="仿宋" w:hAnsi="仿宋" w:eastAsia="仿宋" w:cs="仿宋"/>
          <w:color w:val="auto"/>
          <w:spacing w:val="20"/>
          <w:sz w:val="32"/>
          <w:szCs w:val="32"/>
          <w:shd w:val="clear" w:color="auto" w:fill="FFFFFF"/>
          <w:lang w:val="en-US" w:eastAsia="zh-CN"/>
        </w:rPr>
        <w:t>19.4</w:t>
      </w:r>
      <w:r>
        <w:rPr>
          <w:rFonts w:hint="eastAsia" w:ascii="仿宋" w:hAnsi="仿宋" w:eastAsia="仿宋" w:cs="仿宋"/>
          <w:color w:val="auto"/>
          <w:spacing w:val="20"/>
          <w:sz w:val="32"/>
          <w:szCs w:val="32"/>
          <w:shd w:val="clear" w:color="auto" w:fill="FFFFFF"/>
        </w:rPr>
        <w:t>%；烟草制造业完成</w:t>
      </w:r>
      <w:r>
        <w:rPr>
          <w:rFonts w:hint="eastAsia" w:ascii="仿宋" w:hAnsi="仿宋" w:eastAsia="仿宋" w:cs="仿宋"/>
          <w:color w:val="auto"/>
          <w:spacing w:val="20"/>
          <w:sz w:val="32"/>
          <w:szCs w:val="32"/>
          <w:shd w:val="clear" w:color="auto" w:fill="FFFFFF"/>
          <w:lang w:val="en-US" w:eastAsia="zh-CN"/>
        </w:rPr>
        <w:t>36.1</w:t>
      </w:r>
      <w:r>
        <w:rPr>
          <w:rFonts w:hint="eastAsia" w:ascii="仿宋" w:hAnsi="仿宋" w:eastAsia="仿宋" w:cs="仿宋"/>
          <w:color w:val="auto"/>
          <w:spacing w:val="20"/>
          <w:sz w:val="32"/>
          <w:szCs w:val="32"/>
          <w:shd w:val="clear" w:color="auto" w:fill="FFFFFF"/>
        </w:rPr>
        <w:t>亿元，增长</w:t>
      </w:r>
      <w:r>
        <w:rPr>
          <w:rFonts w:hint="eastAsia" w:ascii="仿宋" w:hAnsi="仿宋" w:eastAsia="仿宋" w:cs="仿宋"/>
          <w:color w:val="auto"/>
          <w:spacing w:val="20"/>
          <w:sz w:val="32"/>
          <w:szCs w:val="32"/>
          <w:shd w:val="clear" w:color="auto" w:fill="FFFFFF"/>
          <w:lang w:val="en-US" w:eastAsia="zh-CN"/>
        </w:rPr>
        <w:t>8.3</w:t>
      </w:r>
      <w:r>
        <w:rPr>
          <w:rFonts w:hint="eastAsia" w:ascii="仿宋" w:hAnsi="仿宋" w:eastAsia="仿宋" w:cs="仿宋"/>
          <w:color w:val="auto"/>
          <w:spacing w:val="20"/>
          <w:sz w:val="32"/>
          <w:szCs w:val="32"/>
          <w:shd w:val="clear" w:color="auto" w:fill="FFFFFF"/>
        </w:rPr>
        <w:t>%；农副食品加工业完成</w:t>
      </w:r>
      <w:r>
        <w:rPr>
          <w:rFonts w:hint="eastAsia" w:ascii="仿宋" w:hAnsi="仿宋" w:eastAsia="仿宋" w:cs="仿宋"/>
          <w:color w:val="auto"/>
          <w:spacing w:val="20"/>
          <w:sz w:val="32"/>
          <w:szCs w:val="32"/>
          <w:shd w:val="clear" w:color="auto" w:fill="FFFFFF"/>
          <w:lang w:val="en-US" w:eastAsia="zh-CN"/>
        </w:rPr>
        <w:t>41.6</w:t>
      </w:r>
      <w:r>
        <w:rPr>
          <w:rFonts w:hint="eastAsia" w:ascii="仿宋" w:hAnsi="仿宋" w:eastAsia="仿宋" w:cs="仿宋"/>
          <w:color w:val="auto"/>
          <w:spacing w:val="20"/>
          <w:sz w:val="32"/>
          <w:szCs w:val="32"/>
          <w:shd w:val="clear" w:color="auto" w:fill="FFFFFF"/>
        </w:rPr>
        <w:t>亿元，下降</w:t>
      </w:r>
      <w:r>
        <w:rPr>
          <w:rFonts w:hint="eastAsia" w:ascii="仿宋" w:hAnsi="仿宋" w:eastAsia="仿宋" w:cs="仿宋"/>
          <w:color w:val="auto"/>
          <w:spacing w:val="20"/>
          <w:sz w:val="32"/>
          <w:szCs w:val="32"/>
          <w:shd w:val="clear" w:color="auto" w:fill="FFFFFF"/>
          <w:lang w:val="en-US" w:eastAsia="zh-CN"/>
        </w:rPr>
        <w:t>9.8</w:t>
      </w:r>
      <w:r>
        <w:rPr>
          <w:rFonts w:hint="eastAsia" w:ascii="仿宋" w:hAnsi="仿宋" w:eastAsia="仿宋" w:cs="仿宋"/>
          <w:color w:val="auto"/>
          <w:spacing w:val="20"/>
          <w:sz w:val="32"/>
          <w:szCs w:val="32"/>
          <w:shd w:val="clear" w:color="auto" w:fill="FFFFFF"/>
        </w:rPr>
        <w:t>%。</w:t>
      </w:r>
    </w:p>
    <w:p>
      <w:pPr>
        <w:keepNext w:val="0"/>
        <w:keepLines w:val="0"/>
        <w:pageBreakBefore w:val="0"/>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shd w:val="clear" w:color="auto" w:fill="FFFFFF"/>
        </w:rPr>
        <w:t>2021年，全市工业增加值</w:t>
      </w:r>
      <w:r>
        <w:rPr>
          <w:rFonts w:hint="eastAsia" w:ascii="仿宋" w:hAnsi="仿宋" w:eastAsia="仿宋" w:cs="仿宋"/>
          <w:color w:val="auto"/>
          <w:spacing w:val="20"/>
          <w:sz w:val="32"/>
          <w:szCs w:val="32"/>
          <w:shd w:val="clear" w:color="auto" w:fill="FFFFFF"/>
          <w:lang w:val="en-US" w:eastAsia="zh-CN"/>
        </w:rPr>
        <w:t>201.7</w:t>
      </w:r>
      <w:r>
        <w:rPr>
          <w:rFonts w:hint="eastAsia" w:ascii="仿宋" w:hAnsi="仿宋" w:eastAsia="仿宋" w:cs="仿宋"/>
          <w:color w:val="auto"/>
          <w:spacing w:val="20"/>
          <w:sz w:val="32"/>
          <w:szCs w:val="32"/>
          <w:shd w:val="clear" w:color="auto" w:fill="FFFFFF"/>
        </w:rPr>
        <w:t>亿元，增长</w:t>
      </w:r>
      <w:r>
        <w:rPr>
          <w:rFonts w:hint="eastAsia" w:ascii="仿宋" w:hAnsi="仿宋" w:eastAsia="仿宋" w:cs="仿宋"/>
          <w:color w:val="auto"/>
          <w:spacing w:val="20"/>
          <w:sz w:val="32"/>
          <w:szCs w:val="32"/>
          <w:shd w:val="clear" w:color="auto" w:fill="FFFFFF"/>
          <w:lang w:val="en-US" w:eastAsia="zh-CN"/>
        </w:rPr>
        <w:t>14.8</w:t>
      </w:r>
      <w:r>
        <w:rPr>
          <w:rFonts w:hint="eastAsia" w:ascii="仿宋" w:hAnsi="仿宋" w:eastAsia="仿宋" w:cs="仿宋"/>
          <w:color w:val="auto"/>
          <w:spacing w:val="20"/>
          <w:sz w:val="32"/>
          <w:szCs w:val="32"/>
          <w:shd w:val="clear" w:color="auto" w:fill="FFFFFF"/>
        </w:rPr>
        <w:t>%；其中全市规模以上工业增加值</w:t>
      </w:r>
      <w:r>
        <w:rPr>
          <w:rFonts w:hint="eastAsia" w:ascii="仿宋" w:hAnsi="仿宋" w:eastAsia="仿宋" w:cs="仿宋"/>
          <w:color w:val="auto"/>
          <w:spacing w:val="20"/>
          <w:sz w:val="32"/>
          <w:szCs w:val="32"/>
          <w:shd w:val="clear" w:color="auto" w:fill="FFFFFF"/>
          <w:lang w:val="en-US" w:eastAsia="zh-CN"/>
        </w:rPr>
        <w:t>186.7</w:t>
      </w:r>
      <w:r>
        <w:rPr>
          <w:rFonts w:hint="eastAsia" w:ascii="仿宋" w:hAnsi="仿宋" w:eastAsia="仿宋" w:cs="仿宋"/>
          <w:color w:val="auto"/>
          <w:spacing w:val="20"/>
          <w:sz w:val="32"/>
          <w:szCs w:val="32"/>
          <w:shd w:val="clear" w:color="auto" w:fill="FFFFFF"/>
        </w:rPr>
        <w:t>亿元，比上年增长</w:t>
      </w:r>
      <w:r>
        <w:rPr>
          <w:rFonts w:hint="eastAsia" w:ascii="仿宋" w:hAnsi="仿宋" w:eastAsia="仿宋" w:cs="仿宋"/>
          <w:color w:val="auto"/>
          <w:spacing w:val="20"/>
          <w:sz w:val="32"/>
          <w:szCs w:val="32"/>
          <w:shd w:val="clear" w:color="auto" w:fill="FFFFFF"/>
          <w:lang w:val="en-US" w:eastAsia="zh-CN"/>
        </w:rPr>
        <w:t>15.9</w:t>
      </w:r>
      <w:r>
        <w:rPr>
          <w:rFonts w:hint="eastAsia" w:ascii="仿宋" w:hAnsi="仿宋" w:eastAsia="仿宋" w:cs="仿宋"/>
          <w:color w:val="auto"/>
          <w:spacing w:val="20"/>
          <w:sz w:val="32"/>
          <w:szCs w:val="32"/>
          <w:shd w:val="clear" w:color="auto" w:fill="FFFFFF"/>
        </w:rPr>
        <w:t>%；全市规模以上工业企业实现销售产值</w:t>
      </w:r>
      <w:r>
        <w:rPr>
          <w:rFonts w:hint="eastAsia" w:ascii="仿宋" w:hAnsi="仿宋" w:eastAsia="仿宋" w:cs="仿宋"/>
          <w:color w:val="auto"/>
          <w:spacing w:val="20"/>
          <w:sz w:val="32"/>
          <w:szCs w:val="32"/>
          <w:shd w:val="clear" w:color="auto" w:fill="FFFFFF"/>
          <w:lang w:val="en-US" w:eastAsia="zh-CN"/>
        </w:rPr>
        <w:t>623.5</w:t>
      </w:r>
      <w:r>
        <w:rPr>
          <w:rFonts w:hint="eastAsia" w:ascii="仿宋" w:hAnsi="仿宋" w:eastAsia="仿宋" w:cs="仿宋"/>
          <w:color w:val="auto"/>
          <w:spacing w:val="20"/>
          <w:sz w:val="32"/>
          <w:szCs w:val="32"/>
          <w:shd w:val="clear" w:color="auto" w:fill="FFFFFF"/>
        </w:rPr>
        <w:t>亿元，增长</w:t>
      </w:r>
      <w:r>
        <w:rPr>
          <w:rFonts w:hint="eastAsia" w:ascii="仿宋" w:hAnsi="仿宋" w:eastAsia="仿宋" w:cs="仿宋"/>
          <w:color w:val="auto"/>
          <w:spacing w:val="20"/>
          <w:sz w:val="32"/>
          <w:szCs w:val="32"/>
          <w:shd w:val="clear" w:color="auto" w:fill="FFFFFF"/>
          <w:lang w:val="en-US" w:eastAsia="zh-CN"/>
        </w:rPr>
        <w:t>12.8</w:t>
      </w:r>
      <w:r>
        <w:rPr>
          <w:rFonts w:hint="eastAsia" w:ascii="仿宋" w:hAnsi="仿宋" w:eastAsia="仿宋" w:cs="仿宋"/>
          <w:color w:val="auto"/>
          <w:spacing w:val="20"/>
          <w:sz w:val="32"/>
          <w:szCs w:val="32"/>
          <w:shd w:val="clear" w:color="auto" w:fill="FFFFFF"/>
        </w:rPr>
        <w:t>%；全年规上工业产销率为</w:t>
      </w:r>
      <w:r>
        <w:rPr>
          <w:rFonts w:hint="eastAsia" w:ascii="仿宋" w:hAnsi="仿宋" w:eastAsia="仿宋" w:cs="仿宋"/>
          <w:color w:val="auto"/>
          <w:spacing w:val="20"/>
          <w:sz w:val="32"/>
          <w:szCs w:val="32"/>
          <w:shd w:val="clear" w:color="auto" w:fill="FFFFFF"/>
          <w:lang w:val="en-US" w:eastAsia="zh-CN"/>
        </w:rPr>
        <w:t>97.4</w:t>
      </w:r>
      <w:r>
        <w:rPr>
          <w:rFonts w:hint="eastAsia" w:ascii="仿宋" w:hAnsi="仿宋" w:eastAsia="仿宋" w:cs="仿宋"/>
          <w:color w:val="auto"/>
          <w:spacing w:val="20"/>
          <w:sz w:val="32"/>
          <w:szCs w:val="32"/>
          <w:shd w:val="clear" w:color="auto" w:fill="FFFFFF"/>
        </w:rPr>
        <w:t>%，比上年增</w:t>
      </w:r>
      <w:r>
        <w:rPr>
          <w:rFonts w:hint="eastAsia" w:ascii="仿宋" w:hAnsi="仿宋" w:eastAsia="仿宋" w:cs="仿宋"/>
          <w:color w:val="auto"/>
          <w:spacing w:val="20"/>
          <w:sz w:val="32"/>
          <w:szCs w:val="32"/>
          <w:shd w:val="clear" w:color="auto" w:fill="FFFFFF"/>
          <w:lang w:eastAsia="zh-CN"/>
        </w:rPr>
        <w:t>加</w:t>
      </w:r>
      <w:r>
        <w:rPr>
          <w:rFonts w:hint="eastAsia" w:ascii="仿宋" w:hAnsi="仿宋" w:eastAsia="仿宋" w:cs="仿宋"/>
          <w:color w:val="auto"/>
          <w:spacing w:val="20"/>
          <w:sz w:val="32"/>
          <w:szCs w:val="32"/>
          <w:shd w:val="clear" w:color="auto" w:fill="FFFFFF"/>
          <w:lang w:val="en-US" w:eastAsia="zh-CN"/>
        </w:rPr>
        <w:t>1.9</w:t>
      </w:r>
      <w:r>
        <w:rPr>
          <w:rFonts w:hint="eastAsia" w:ascii="仿宋" w:hAnsi="仿宋" w:eastAsia="仿宋" w:cs="仿宋"/>
          <w:color w:val="auto"/>
          <w:spacing w:val="20"/>
          <w:sz w:val="32"/>
          <w:szCs w:val="32"/>
          <w:shd w:val="clear" w:color="auto" w:fill="FFFFFF"/>
        </w:rPr>
        <w:t>个百分点。</w:t>
      </w:r>
    </w:p>
    <w:p>
      <w:pPr>
        <w:pStyle w:val="2"/>
        <w:rPr>
          <w:rFonts w:hint="eastAsia"/>
        </w:rPr>
      </w:pPr>
    </w:p>
    <w:p>
      <w:pPr>
        <w:ind w:left="0" w:leftChars="0" w:firstLine="560" w:firstLineChars="200"/>
        <w:jc w:val="both"/>
        <w:rPr>
          <w:rFonts w:hint="eastAsia" w:ascii="仿宋" w:hAnsi="仿宋" w:eastAsia="仿宋" w:cs="仿宋"/>
          <w:color w:val="auto"/>
          <w:sz w:val="28"/>
          <w:szCs w:val="28"/>
        </w:rPr>
      </w:pPr>
      <w:r>
        <w:rPr>
          <w:rFonts w:hint="eastAsia" w:ascii="仿宋" w:hAnsi="仿宋" w:eastAsia="仿宋" w:cs="仿宋"/>
          <w:color w:val="auto"/>
          <w:sz w:val="28"/>
          <w:szCs w:val="28"/>
        </w:rPr>
        <w:drawing>
          <wp:inline distT="0" distB="0" distL="114300" distR="114300">
            <wp:extent cx="4771390" cy="3876675"/>
            <wp:effectExtent l="4445" t="5080" r="5715" b="4445"/>
            <wp:docPr id="17"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pStyle w:val="2"/>
        <w:rPr>
          <w:rFonts w:hint="eastAsia"/>
        </w:rPr>
      </w:pP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b w:val="0"/>
          <w:bCs/>
          <w:color w:val="auto"/>
          <w:spacing w:val="20"/>
          <w:sz w:val="32"/>
          <w:szCs w:val="32"/>
          <w:shd w:val="clear" w:color="auto" w:fill="FFFFFF"/>
        </w:rPr>
      </w:pPr>
      <w:r>
        <w:rPr>
          <w:rFonts w:hint="eastAsia" w:ascii="仿宋" w:hAnsi="仿宋" w:eastAsia="仿宋" w:cs="仿宋"/>
          <w:b w:val="0"/>
          <w:bCs/>
          <w:color w:val="auto"/>
          <w:spacing w:val="20"/>
          <w:sz w:val="32"/>
          <w:szCs w:val="32"/>
          <w:shd w:val="clear" w:color="auto" w:fill="FFFFFF"/>
        </w:rPr>
        <w:t>2.建筑业</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shd w:val="clear" w:color="auto" w:fill="FFFFFF"/>
        </w:rPr>
        <w:t>2021年全市建筑业实现增加值</w:t>
      </w:r>
      <w:r>
        <w:rPr>
          <w:rFonts w:hint="eastAsia" w:ascii="仿宋" w:hAnsi="仿宋" w:eastAsia="仿宋" w:cs="仿宋"/>
          <w:color w:val="auto"/>
          <w:spacing w:val="20"/>
          <w:sz w:val="32"/>
          <w:szCs w:val="32"/>
          <w:shd w:val="clear" w:color="auto" w:fill="FFFFFF"/>
          <w:lang w:val="en-US" w:eastAsia="zh-CN"/>
        </w:rPr>
        <w:t>149.89</w:t>
      </w:r>
      <w:r>
        <w:rPr>
          <w:rFonts w:hint="eastAsia" w:ascii="仿宋" w:hAnsi="仿宋" w:eastAsia="仿宋" w:cs="仿宋"/>
          <w:color w:val="auto"/>
          <w:spacing w:val="20"/>
          <w:sz w:val="32"/>
          <w:szCs w:val="32"/>
          <w:shd w:val="clear" w:color="auto" w:fill="FFFFFF"/>
        </w:rPr>
        <w:t>亿元，比上年增长</w:t>
      </w:r>
      <w:r>
        <w:rPr>
          <w:rFonts w:hint="eastAsia" w:ascii="仿宋" w:hAnsi="仿宋" w:eastAsia="仿宋" w:cs="仿宋"/>
          <w:color w:val="auto"/>
          <w:spacing w:val="20"/>
          <w:sz w:val="32"/>
          <w:szCs w:val="32"/>
          <w:shd w:val="clear" w:color="auto" w:fill="FFFFFF"/>
          <w:lang w:val="en-US" w:eastAsia="zh-CN"/>
        </w:rPr>
        <w:t>0.4</w:t>
      </w:r>
      <w:r>
        <w:rPr>
          <w:rFonts w:hint="eastAsia" w:ascii="仿宋" w:hAnsi="仿宋" w:eastAsia="仿宋" w:cs="仿宋"/>
          <w:color w:val="auto"/>
          <w:spacing w:val="20"/>
          <w:sz w:val="32"/>
          <w:szCs w:val="32"/>
          <w:shd w:val="clear" w:color="auto" w:fill="FFFFFF"/>
        </w:rPr>
        <w:t>%。全市具有资质等级的建筑业企业单位</w:t>
      </w:r>
      <w:r>
        <w:rPr>
          <w:rFonts w:hint="eastAsia" w:ascii="仿宋" w:hAnsi="仿宋" w:eastAsia="仿宋" w:cs="仿宋"/>
          <w:color w:val="auto"/>
          <w:spacing w:val="20"/>
          <w:sz w:val="32"/>
          <w:szCs w:val="32"/>
          <w:shd w:val="clear" w:color="auto" w:fill="FFFFFF"/>
          <w:lang w:val="en-US" w:eastAsia="zh-CN"/>
        </w:rPr>
        <w:t>177</w:t>
      </w:r>
      <w:r>
        <w:rPr>
          <w:rFonts w:hint="eastAsia" w:ascii="仿宋" w:hAnsi="仿宋" w:eastAsia="仿宋" w:cs="仿宋"/>
          <w:color w:val="auto"/>
          <w:spacing w:val="20"/>
          <w:sz w:val="32"/>
          <w:szCs w:val="32"/>
          <w:shd w:val="clear" w:color="auto" w:fill="FFFFFF"/>
        </w:rPr>
        <w:t>个，增长</w:t>
      </w:r>
      <w:r>
        <w:rPr>
          <w:rFonts w:hint="eastAsia" w:ascii="仿宋" w:hAnsi="仿宋" w:eastAsia="仿宋" w:cs="仿宋"/>
          <w:color w:val="auto"/>
          <w:spacing w:val="20"/>
          <w:sz w:val="32"/>
          <w:szCs w:val="32"/>
          <w:shd w:val="clear" w:color="auto" w:fill="FFFFFF"/>
          <w:lang w:val="en-US" w:eastAsia="zh-CN"/>
        </w:rPr>
        <w:t>6.0</w:t>
      </w:r>
      <w:r>
        <w:rPr>
          <w:rFonts w:hint="eastAsia" w:ascii="仿宋" w:hAnsi="仿宋" w:eastAsia="仿宋" w:cs="仿宋"/>
          <w:color w:val="auto"/>
          <w:spacing w:val="20"/>
          <w:sz w:val="32"/>
          <w:szCs w:val="32"/>
          <w:shd w:val="clear" w:color="auto" w:fill="FFFFFF"/>
        </w:rPr>
        <w:t>%。从业人员</w:t>
      </w:r>
      <w:r>
        <w:rPr>
          <w:rFonts w:hint="eastAsia" w:ascii="仿宋" w:hAnsi="仿宋" w:eastAsia="仿宋" w:cs="仿宋"/>
          <w:color w:val="auto"/>
          <w:spacing w:val="20"/>
          <w:sz w:val="32"/>
          <w:szCs w:val="32"/>
          <w:shd w:val="clear" w:color="auto" w:fill="FFFFFF"/>
          <w:lang w:val="en-US" w:eastAsia="zh-CN"/>
        </w:rPr>
        <w:t>3.9</w:t>
      </w:r>
      <w:r>
        <w:rPr>
          <w:rFonts w:hint="eastAsia" w:ascii="仿宋" w:hAnsi="仿宋" w:eastAsia="仿宋" w:cs="仿宋"/>
          <w:color w:val="auto"/>
          <w:spacing w:val="20"/>
          <w:sz w:val="32"/>
          <w:szCs w:val="32"/>
          <w:shd w:val="clear" w:color="auto" w:fill="FFFFFF"/>
        </w:rPr>
        <w:t>万人，下降</w:t>
      </w:r>
      <w:r>
        <w:rPr>
          <w:rFonts w:hint="eastAsia" w:ascii="仿宋" w:hAnsi="仿宋" w:eastAsia="仿宋" w:cs="仿宋"/>
          <w:color w:val="auto"/>
          <w:spacing w:val="20"/>
          <w:sz w:val="32"/>
          <w:szCs w:val="32"/>
          <w:shd w:val="clear" w:color="auto" w:fill="FFFFFF"/>
          <w:lang w:val="en-US" w:eastAsia="zh-CN"/>
        </w:rPr>
        <w:t>14.7</w:t>
      </w:r>
      <w:r>
        <w:rPr>
          <w:rFonts w:hint="eastAsia" w:ascii="仿宋" w:hAnsi="仿宋" w:eastAsia="仿宋" w:cs="仿宋"/>
          <w:color w:val="auto"/>
          <w:spacing w:val="20"/>
          <w:sz w:val="32"/>
          <w:szCs w:val="32"/>
          <w:shd w:val="clear" w:color="auto" w:fill="FFFFFF"/>
        </w:rPr>
        <w:t>%。本市资质内建筑企业全年房屋建筑施工面积</w:t>
      </w:r>
      <w:r>
        <w:rPr>
          <w:rFonts w:hint="eastAsia" w:ascii="仿宋" w:hAnsi="仿宋" w:eastAsia="仿宋" w:cs="仿宋"/>
          <w:color w:val="auto"/>
          <w:spacing w:val="20"/>
          <w:sz w:val="32"/>
          <w:szCs w:val="32"/>
          <w:shd w:val="clear" w:color="auto" w:fill="FFFFFF"/>
          <w:lang w:val="en-US" w:eastAsia="zh-CN"/>
        </w:rPr>
        <w:t>1115.6</w:t>
      </w:r>
      <w:r>
        <w:rPr>
          <w:rFonts w:hint="eastAsia" w:ascii="仿宋" w:hAnsi="仿宋" w:eastAsia="仿宋" w:cs="仿宋"/>
          <w:color w:val="auto"/>
          <w:spacing w:val="20"/>
          <w:sz w:val="32"/>
          <w:szCs w:val="32"/>
          <w:shd w:val="clear" w:color="auto" w:fill="FFFFFF"/>
        </w:rPr>
        <w:t>万平方米，下降</w:t>
      </w:r>
      <w:r>
        <w:rPr>
          <w:rFonts w:hint="eastAsia" w:ascii="仿宋" w:hAnsi="仿宋" w:eastAsia="仿宋" w:cs="仿宋"/>
          <w:color w:val="auto"/>
          <w:spacing w:val="20"/>
          <w:sz w:val="32"/>
          <w:szCs w:val="32"/>
          <w:shd w:val="clear" w:color="auto" w:fill="FFFFFF"/>
          <w:lang w:val="en-US" w:eastAsia="zh-CN"/>
        </w:rPr>
        <w:t>13.8</w:t>
      </w:r>
      <w:r>
        <w:rPr>
          <w:rFonts w:hint="eastAsia" w:ascii="仿宋" w:hAnsi="仿宋" w:eastAsia="仿宋" w:cs="仿宋"/>
          <w:color w:val="auto"/>
          <w:spacing w:val="20"/>
          <w:sz w:val="32"/>
          <w:szCs w:val="32"/>
          <w:shd w:val="clear" w:color="auto" w:fill="FFFFFF"/>
        </w:rPr>
        <w:t>%；房屋建筑竣工面积</w:t>
      </w:r>
      <w:r>
        <w:rPr>
          <w:rFonts w:hint="eastAsia" w:ascii="仿宋" w:hAnsi="仿宋" w:eastAsia="仿宋" w:cs="仿宋"/>
          <w:color w:val="auto"/>
          <w:spacing w:val="20"/>
          <w:sz w:val="32"/>
          <w:szCs w:val="32"/>
          <w:shd w:val="clear" w:color="auto" w:fill="FFFFFF"/>
          <w:lang w:val="en-US" w:eastAsia="zh-CN"/>
        </w:rPr>
        <w:t>249</w:t>
      </w:r>
      <w:r>
        <w:rPr>
          <w:rFonts w:hint="eastAsia" w:ascii="仿宋" w:hAnsi="仿宋" w:eastAsia="仿宋" w:cs="仿宋"/>
          <w:color w:val="auto"/>
          <w:spacing w:val="20"/>
          <w:sz w:val="32"/>
          <w:szCs w:val="32"/>
          <w:shd w:val="clear" w:color="auto" w:fill="FFFFFF"/>
        </w:rPr>
        <w:t>万平方米，</w:t>
      </w:r>
      <w:r>
        <w:rPr>
          <w:rFonts w:hint="eastAsia" w:ascii="仿宋" w:hAnsi="仿宋" w:eastAsia="仿宋" w:cs="仿宋"/>
          <w:color w:val="auto"/>
          <w:spacing w:val="20"/>
          <w:sz w:val="32"/>
          <w:szCs w:val="32"/>
          <w:shd w:val="clear" w:color="auto" w:fill="FFFFFF"/>
          <w:lang w:eastAsia="zh-CN"/>
        </w:rPr>
        <w:t>增长</w:t>
      </w:r>
      <w:r>
        <w:rPr>
          <w:rFonts w:hint="eastAsia" w:ascii="仿宋" w:hAnsi="仿宋" w:eastAsia="仿宋" w:cs="仿宋"/>
          <w:color w:val="auto"/>
          <w:spacing w:val="20"/>
          <w:sz w:val="32"/>
          <w:szCs w:val="32"/>
          <w:shd w:val="clear" w:color="auto" w:fill="FFFFFF"/>
          <w:lang w:val="en-US" w:eastAsia="zh-CN"/>
        </w:rPr>
        <w:t>65.3</w:t>
      </w:r>
      <w:r>
        <w:rPr>
          <w:rFonts w:hint="eastAsia" w:ascii="仿宋" w:hAnsi="仿宋" w:eastAsia="仿宋" w:cs="仿宋"/>
          <w:color w:val="auto"/>
          <w:spacing w:val="20"/>
          <w:sz w:val="32"/>
          <w:szCs w:val="32"/>
          <w:shd w:val="clear" w:color="auto" w:fill="FFFFFF"/>
        </w:rPr>
        <w:t>%。</w:t>
      </w:r>
    </w:p>
    <w:p>
      <w:pPr>
        <w:ind w:left="0" w:leftChars="0" w:firstLine="720" w:firstLineChars="200"/>
        <w:jc w:val="both"/>
        <w:rPr>
          <w:rFonts w:hint="eastAsia" w:ascii="楷体" w:hAnsi="楷体" w:eastAsia="楷体" w:cs="楷体"/>
          <w:b w:val="0"/>
          <w:bCs/>
          <w:color w:val="auto"/>
          <w:spacing w:val="20"/>
          <w:sz w:val="32"/>
          <w:szCs w:val="32"/>
          <w:lang w:val="en"/>
        </w:rPr>
      </w:pPr>
      <w:r>
        <w:rPr>
          <w:rFonts w:hint="eastAsia" w:ascii="楷体" w:hAnsi="楷体" w:eastAsia="楷体" w:cs="楷体"/>
          <w:b w:val="0"/>
          <w:bCs/>
          <w:color w:val="auto"/>
          <w:spacing w:val="20"/>
          <w:sz w:val="32"/>
          <w:szCs w:val="32"/>
          <w:shd w:val="clear" w:color="auto" w:fill="FFFFFF"/>
        </w:rPr>
        <w:t>（三）房地产业</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rPr>
      </w:pPr>
      <w:r>
        <w:rPr>
          <w:rFonts w:hint="eastAsia" w:ascii="仿宋" w:hAnsi="仿宋" w:eastAsia="仿宋" w:cs="仿宋"/>
          <w:color w:val="auto"/>
          <w:spacing w:val="20"/>
          <w:sz w:val="32"/>
          <w:szCs w:val="32"/>
          <w:shd w:val="clear" w:color="auto" w:fill="FFFFFF"/>
        </w:rPr>
        <w:t>2021年，全市房地产业完成增加值</w:t>
      </w:r>
      <w:r>
        <w:rPr>
          <w:rFonts w:hint="eastAsia" w:ascii="仿宋" w:hAnsi="仿宋" w:eastAsia="仿宋" w:cs="仿宋"/>
          <w:color w:val="auto"/>
          <w:spacing w:val="20"/>
          <w:sz w:val="32"/>
          <w:szCs w:val="32"/>
          <w:shd w:val="clear" w:color="auto" w:fill="FFFFFF"/>
          <w:lang w:val="en-US" w:eastAsia="zh-CN"/>
        </w:rPr>
        <w:t>162.70</w:t>
      </w:r>
      <w:r>
        <w:rPr>
          <w:rFonts w:hint="eastAsia" w:ascii="仿宋" w:hAnsi="仿宋" w:eastAsia="仿宋" w:cs="仿宋"/>
          <w:color w:val="auto"/>
          <w:spacing w:val="20"/>
          <w:sz w:val="32"/>
          <w:szCs w:val="32"/>
          <w:shd w:val="clear" w:color="auto" w:fill="FFFFFF"/>
        </w:rPr>
        <w:t>亿元，比上年增长</w:t>
      </w:r>
      <w:r>
        <w:rPr>
          <w:rFonts w:hint="eastAsia" w:ascii="仿宋" w:hAnsi="仿宋" w:eastAsia="仿宋" w:cs="仿宋"/>
          <w:color w:val="auto"/>
          <w:spacing w:val="20"/>
          <w:sz w:val="32"/>
          <w:szCs w:val="32"/>
          <w:shd w:val="clear" w:color="auto" w:fill="FFFFFF"/>
          <w:lang w:val="en-US" w:eastAsia="zh-CN"/>
        </w:rPr>
        <w:t>5.1</w:t>
      </w:r>
      <w:r>
        <w:rPr>
          <w:rFonts w:hint="eastAsia" w:ascii="仿宋" w:hAnsi="仿宋" w:eastAsia="仿宋" w:cs="仿宋"/>
          <w:color w:val="auto"/>
          <w:spacing w:val="20"/>
          <w:sz w:val="32"/>
          <w:szCs w:val="32"/>
          <w:shd w:val="clear" w:color="auto" w:fill="FFFFFF"/>
        </w:rPr>
        <w:t>%。全市商品房施工面积</w:t>
      </w:r>
      <w:r>
        <w:rPr>
          <w:rFonts w:hint="eastAsia" w:ascii="仿宋" w:hAnsi="仿宋" w:eastAsia="仿宋" w:cs="仿宋"/>
          <w:color w:val="auto"/>
          <w:spacing w:val="20"/>
          <w:sz w:val="32"/>
          <w:szCs w:val="32"/>
          <w:shd w:val="clear" w:color="auto" w:fill="FFFFFF"/>
          <w:lang w:val="en-US" w:eastAsia="zh-CN"/>
        </w:rPr>
        <w:t>3369.06</w:t>
      </w:r>
      <w:r>
        <w:rPr>
          <w:rFonts w:hint="eastAsia" w:ascii="仿宋" w:hAnsi="仿宋" w:eastAsia="仿宋" w:cs="仿宋"/>
          <w:color w:val="auto"/>
          <w:spacing w:val="20"/>
          <w:sz w:val="32"/>
          <w:szCs w:val="32"/>
          <w:shd w:val="clear" w:color="auto" w:fill="FFFFFF"/>
        </w:rPr>
        <w:t>万平方米，</w:t>
      </w:r>
      <w:r>
        <w:rPr>
          <w:rFonts w:hint="eastAsia" w:ascii="仿宋" w:hAnsi="仿宋" w:eastAsia="仿宋" w:cs="仿宋"/>
          <w:color w:val="auto"/>
          <w:spacing w:val="20"/>
          <w:sz w:val="32"/>
          <w:szCs w:val="32"/>
          <w:shd w:val="clear" w:color="auto" w:fill="FFFFFF"/>
          <w:lang w:eastAsia="zh-CN"/>
        </w:rPr>
        <w:t>与上年持平</w:t>
      </w:r>
      <w:r>
        <w:rPr>
          <w:rFonts w:hint="eastAsia" w:ascii="仿宋" w:hAnsi="仿宋" w:eastAsia="仿宋" w:cs="仿宋"/>
          <w:color w:val="auto"/>
          <w:spacing w:val="20"/>
          <w:sz w:val="32"/>
          <w:szCs w:val="32"/>
          <w:shd w:val="clear" w:color="auto" w:fill="FFFFFF"/>
        </w:rPr>
        <w:t>；商品房新开工面积</w:t>
      </w:r>
      <w:r>
        <w:rPr>
          <w:rFonts w:hint="eastAsia" w:ascii="仿宋" w:hAnsi="仿宋" w:eastAsia="仿宋" w:cs="仿宋"/>
          <w:color w:val="auto"/>
          <w:spacing w:val="20"/>
          <w:sz w:val="32"/>
          <w:szCs w:val="32"/>
          <w:shd w:val="clear" w:color="auto" w:fill="FFFFFF"/>
          <w:lang w:val="en-US" w:eastAsia="zh-CN"/>
        </w:rPr>
        <w:t>310.65</w:t>
      </w:r>
      <w:r>
        <w:rPr>
          <w:rFonts w:hint="eastAsia" w:ascii="仿宋" w:hAnsi="仿宋" w:eastAsia="仿宋" w:cs="仿宋"/>
          <w:color w:val="auto"/>
          <w:spacing w:val="20"/>
          <w:sz w:val="32"/>
          <w:szCs w:val="32"/>
          <w:shd w:val="clear" w:color="auto" w:fill="FFFFFF"/>
        </w:rPr>
        <w:t>万平方米，下降</w:t>
      </w:r>
      <w:r>
        <w:rPr>
          <w:rFonts w:hint="eastAsia" w:ascii="仿宋" w:hAnsi="仿宋" w:eastAsia="仿宋" w:cs="仿宋"/>
          <w:color w:val="auto"/>
          <w:spacing w:val="20"/>
          <w:sz w:val="32"/>
          <w:szCs w:val="32"/>
          <w:shd w:val="clear" w:color="auto" w:fill="FFFFFF"/>
          <w:lang w:val="en-US" w:eastAsia="zh-CN"/>
        </w:rPr>
        <w:t>4.6</w:t>
      </w:r>
      <w:r>
        <w:rPr>
          <w:rFonts w:hint="eastAsia" w:ascii="仿宋" w:hAnsi="仿宋" w:eastAsia="仿宋" w:cs="仿宋"/>
          <w:color w:val="auto"/>
          <w:spacing w:val="20"/>
          <w:sz w:val="32"/>
          <w:szCs w:val="32"/>
          <w:shd w:val="clear" w:color="auto" w:fill="FFFFFF"/>
        </w:rPr>
        <w:t>%。商品房销售面积</w:t>
      </w:r>
      <w:r>
        <w:rPr>
          <w:rFonts w:hint="eastAsia" w:ascii="仿宋" w:hAnsi="仿宋" w:eastAsia="仿宋" w:cs="仿宋"/>
          <w:color w:val="auto"/>
          <w:spacing w:val="20"/>
          <w:sz w:val="32"/>
          <w:szCs w:val="32"/>
          <w:shd w:val="clear" w:color="auto" w:fill="FFFFFF"/>
          <w:lang w:val="en-US" w:eastAsia="zh-CN"/>
        </w:rPr>
        <w:t>484.60</w:t>
      </w:r>
      <w:r>
        <w:rPr>
          <w:rFonts w:hint="eastAsia" w:ascii="仿宋" w:hAnsi="仿宋" w:eastAsia="仿宋" w:cs="仿宋"/>
          <w:color w:val="auto"/>
          <w:spacing w:val="20"/>
          <w:sz w:val="32"/>
          <w:szCs w:val="32"/>
          <w:shd w:val="clear" w:color="auto" w:fill="FFFFFF"/>
        </w:rPr>
        <w:t>万平方米，</w:t>
      </w:r>
      <w:r>
        <w:rPr>
          <w:rFonts w:hint="eastAsia" w:ascii="仿宋" w:hAnsi="仿宋" w:eastAsia="仿宋" w:cs="仿宋"/>
          <w:color w:val="auto"/>
          <w:spacing w:val="20"/>
          <w:sz w:val="32"/>
          <w:szCs w:val="32"/>
          <w:shd w:val="clear" w:color="auto" w:fill="FFFFFF"/>
          <w:lang w:eastAsia="zh-CN"/>
        </w:rPr>
        <w:t>增长</w:t>
      </w:r>
      <w:r>
        <w:rPr>
          <w:rFonts w:hint="eastAsia" w:ascii="仿宋" w:hAnsi="仿宋" w:eastAsia="仿宋" w:cs="仿宋"/>
          <w:color w:val="auto"/>
          <w:spacing w:val="20"/>
          <w:sz w:val="32"/>
          <w:szCs w:val="32"/>
          <w:shd w:val="clear" w:color="auto" w:fill="FFFFFF"/>
          <w:lang w:val="en-US" w:eastAsia="zh-CN"/>
        </w:rPr>
        <w:t>4.5</w:t>
      </w:r>
      <w:r>
        <w:rPr>
          <w:rFonts w:hint="eastAsia" w:ascii="仿宋" w:hAnsi="仿宋" w:eastAsia="仿宋" w:cs="仿宋"/>
          <w:color w:val="auto"/>
          <w:spacing w:val="20"/>
          <w:sz w:val="32"/>
          <w:szCs w:val="32"/>
          <w:shd w:val="clear" w:color="auto" w:fill="FFFFFF"/>
        </w:rPr>
        <w:t>%；商品房销售额</w:t>
      </w:r>
      <w:r>
        <w:rPr>
          <w:rFonts w:hint="eastAsia" w:ascii="仿宋" w:hAnsi="仿宋" w:eastAsia="仿宋" w:cs="仿宋"/>
          <w:color w:val="auto"/>
          <w:spacing w:val="20"/>
          <w:sz w:val="32"/>
          <w:szCs w:val="32"/>
          <w:shd w:val="clear" w:color="auto" w:fill="FFFFFF"/>
          <w:lang w:val="en-US" w:eastAsia="zh-CN"/>
        </w:rPr>
        <w:t>766.87</w:t>
      </w:r>
      <w:r>
        <w:rPr>
          <w:rFonts w:hint="eastAsia" w:ascii="仿宋" w:hAnsi="仿宋" w:eastAsia="仿宋" w:cs="仿宋"/>
          <w:color w:val="auto"/>
          <w:spacing w:val="20"/>
          <w:sz w:val="32"/>
          <w:szCs w:val="32"/>
          <w:shd w:val="clear" w:color="auto" w:fill="FFFFFF"/>
        </w:rPr>
        <w:t>亿元，增长</w:t>
      </w:r>
      <w:r>
        <w:rPr>
          <w:rFonts w:hint="eastAsia" w:ascii="仿宋" w:hAnsi="仿宋" w:eastAsia="仿宋" w:cs="仿宋"/>
          <w:color w:val="auto"/>
          <w:spacing w:val="20"/>
          <w:sz w:val="32"/>
          <w:szCs w:val="32"/>
          <w:shd w:val="clear" w:color="auto" w:fill="FFFFFF"/>
          <w:lang w:val="en-US" w:eastAsia="zh-CN"/>
        </w:rPr>
        <w:t>4.4</w:t>
      </w:r>
      <w:r>
        <w:rPr>
          <w:rFonts w:hint="eastAsia" w:ascii="仿宋" w:hAnsi="仿宋" w:eastAsia="仿宋" w:cs="仿宋"/>
          <w:color w:val="auto"/>
          <w:spacing w:val="20"/>
          <w:sz w:val="32"/>
          <w:szCs w:val="32"/>
          <w:shd w:val="clear" w:color="auto" w:fill="FFFFFF"/>
        </w:rPr>
        <w:t>%；其中，住宅销售面积</w:t>
      </w:r>
      <w:r>
        <w:rPr>
          <w:rFonts w:hint="eastAsia" w:ascii="仿宋" w:hAnsi="仿宋" w:eastAsia="仿宋" w:cs="仿宋"/>
          <w:color w:val="auto"/>
          <w:spacing w:val="20"/>
          <w:sz w:val="32"/>
          <w:szCs w:val="32"/>
          <w:shd w:val="clear" w:color="auto" w:fill="FFFFFF"/>
          <w:lang w:val="en-US" w:eastAsia="zh-CN"/>
        </w:rPr>
        <w:t>349.09</w:t>
      </w:r>
      <w:r>
        <w:rPr>
          <w:rFonts w:hint="eastAsia" w:ascii="仿宋" w:hAnsi="仿宋" w:eastAsia="仿宋" w:cs="仿宋"/>
          <w:color w:val="auto"/>
          <w:spacing w:val="20"/>
          <w:sz w:val="32"/>
          <w:szCs w:val="32"/>
          <w:shd w:val="clear" w:color="auto" w:fill="FFFFFF"/>
        </w:rPr>
        <w:t>万平方米，下降</w:t>
      </w:r>
      <w:r>
        <w:rPr>
          <w:rFonts w:hint="eastAsia" w:ascii="仿宋" w:hAnsi="仿宋" w:eastAsia="仿宋" w:cs="仿宋"/>
          <w:color w:val="auto"/>
          <w:spacing w:val="20"/>
          <w:sz w:val="32"/>
          <w:szCs w:val="32"/>
          <w:shd w:val="clear" w:color="auto" w:fill="FFFFFF"/>
          <w:lang w:val="en-US" w:eastAsia="zh-CN"/>
        </w:rPr>
        <w:t>6.0</w:t>
      </w:r>
      <w:r>
        <w:rPr>
          <w:rFonts w:hint="eastAsia" w:ascii="仿宋" w:hAnsi="仿宋" w:eastAsia="仿宋" w:cs="仿宋"/>
          <w:color w:val="auto"/>
          <w:spacing w:val="20"/>
          <w:sz w:val="32"/>
          <w:szCs w:val="32"/>
          <w:shd w:val="clear" w:color="auto" w:fill="FFFFFF"/>
        </w:rPr>
        <w:t>%；住宅销售额</w:t>
      </w:r>
      <w:r>
        <w:rPr>
          <w:rFonts w:hint="eastAsia" w:ascii="仿宋" w:hAnsi="仿宋" w:eastAsia="仿宋" w:cs="仿宋"/>
          <w:color w:val="auto"/>
          <w:spacing w:val="20"/>
          <w:sz w:val="32"/>
          <w:szCs w:val="32"/>
          <w:shd w:val="clear" w:color="auto" w:fill="FFFFFF"/>
          <w:lang w:val="en-US" w:eastAsia="zh-CN"/>
        </w:rPr>
        <w:t>572.50</w:t>
      </w:r>
      <w:r>
        <w:rPr>
          <w:rFonts w:hint="eastAsia" w:ascii="仿宋" w:hAnsi="仿宋" w:eastAsia="仿宋" w:cs="仿宋"/>
          <w:color w:val="auto"/>
          <w:spacing w:val="20"/>
          <w:sz w:val="32"/>
          <w:szCs w:val="32"/>
          <w:shd w:val="clear" w:color="auto" w:fill="FFFFFF"/>
        </w:rPr>
        <w:t>亿元，下降</w:t>
      </w:r>
      <w:r>
        <w:rPr>
          <w:rFonts w:hint="eastAsia" w:ascii="仿宋" w:hAnsi="仿宋" w:eastAsia="仿宋" w:cs="仿宋"/>
          <w:color w:val="auto"/>
          <w:spacing w:val="20"/>
          <w:sz w:val="32"/>
          <w:szCs w:val="32"/>
          <w:shd w:val="clear" w:color="auto" w:fill="FFFFFF"/>
          <w:lang w:val="en-US" w:eastAsia="zh-CN"/>
        </w:rPr>
        <w:t>6.6</w:t>
      </w:r>
      <w:r>
        <w:rPr>
          <w:rFonts w:hint="eastAsia" w:ascii="仿宋" w:hAnsi="仿宋" w:eastAsia="仿宋" w:cs="仿宋"/>
          <w:color w:val="auto"/>
          <w:spacing w:val="20"/>
          <w:sz w:val="32"/>
          <w:szCs w:val="32"/>
          <w:shd w:val="clear" w:color="auto" w:fill="FFFFFF"/>
        </w:rPr>
        <w:t>%。</w:t>
      </w:r>
    </w:p>
    <w:p>
      <w:pPr>
        <w:ind w:left="0" w:leftChars="0" w:firstLine="720" w:firstLineChars="200"/>
        <w:jc w:val="both"/>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（四）旅游业</w:t>
      </w:r>
    </w:p>
    <w:p>
      <w:pPr>
        <w:pStyle w:val="13"/>
        <w:ind w:left="0" w:leftChars="0" w:firstLine="600"/>
        <w:jc w:val="both"/>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海口市多措并举鼓励和支持涉旅企业加快打造高品质旅游品牌,着力增强核心吸引力和竞争力。成功推动海口市秀英炮台、海口热带农业科技博览园获评国家3A级旅游景区,海口丘浚文化公园获评国家2A级旅游景区。酒店品牌化管理持续强化,目前全市共有42家星级酒店,星级酒店服务水平和服务质量不断提升。乡村旅游与特色民宿品牌初现,石山镇入选全国乡村旅游重点镇,永兴镇冯塘村等5个村庄入选全国乡村旅游重点村,18家乡村旅游点获评海南省椰级乡村旅游点;16家民宿获评海南省“金银铜”等级乡村民宿。强化实施“文化品牌战略”,全力打造万春会、冼夫人文化节、仲夏文艺季、海南国际旅游岛欢乐节,海口节庆文化魅力进一步凸显。特色夜市激发夜游产品,寻尝里夜市、金盘夜市打造成为集娱乐、餐饮、休闲等项目为一体的“海口夜市”,形成品牌特色街区,塑造新的旅游消费热点。海荟堂·全家福大礼包、椰香木鸡、盐焗鸡、椰格格·JingleBell铃铛包等一批海口特色旅游商品荣获中国特色旅游商品金奖。</w:t>
      </w:r>
    </w:p>
    <w:p>
      <w:pPr>
        <w:pStyle w:val="13"/>
        <w:keepNext w:val="0"/>
        <w:keepLines w:val="0"/>
        <w:pageBreakBefore w:val="0"/>
        <w:widowControl/>
        <w:kinsoku/>
        <w:wordWrap/>
        <w:overflowPunct/>
        <w:topLinePunct w:val="0"/>
        <w:autoSpaceDE/>
        <w:autoSpaceDN/>
        <w:bidi w:val="0"/>
        <w:adjustRightInd/>
        <w:snapToGrid/>
        <w:spacing w:line="560" w:lineRule="exact"/>
        <w:ind w:left="0" w:leftChars="0" w:firstLine="6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2021年底,全市旅行社达443家,住宿业1348家,总客房83221间,A级旅游景区15家。2021年,海口市接待游客2313.8万人次,同比增长39.8%,恢复至2019年同期水平的82%;旅游总收入344.6亿元,同比增长56.1%,恢复至2019年同期水平的97%。</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（五）批发零售业和住宿餐饮业</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2021年，社会消费品零售总额为1056.98亿元，占全省比重为42.3%，同比增长26.5%。持续扩大离岛免税政策效应，推动海口国际免税城建成开业，聚力打造标志性城市名片及商业新标杆，助力海南建设国际旅游消费中心。其中，免税销售额实现稳步增长，今年我市免税销售额实现139亿元。</w:t>
      </w:r>
    </w:p>
    <w:p>
      <w:pPr>
        <w:keepNext w:val="0"/>
        <w:keepLines w:val="0"/>
        <w:pageBreakBefore w:val="0"/>
        <w:widowControl/>
        <w:kinsoku/>
        <w:wordWrap/>
        <w:overflowPunct/>
        <w:topLinePunct w:val="0"/>
        <w:autoSpaceDE/>
        <w:autoSpaceDN/>
        <w:bidi w:val="0"/>
        <w:adjustRightInd/>
        <w:snapToGrid/>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全年批发和零售业实现增加值399.21亿元，比上年增长27.9%，占全市地区生产总值的19.4%；住宿和餐饮业实现增加值55.04亿元，增长12.4%，占全市地区生产总值的2.7%。</w:t>
      </w:r>
    </w:p>
    <w:p>
      <w:pPr>
        <w:ind w:left="0" w:leftChars="0" w:firstLine="560" w:firstLineChars="200"/>
        <w:jc w:val="both"/>
        <w:rPr>
          <w:rFonts w:hint="eastAsia" w:ascii="仿宋" w:hAnsi="仿宋" w:eastAsia="仿宋" w:cs="仿宋"/>
          <w:color w:val="auto"/>
          <w:spacing w:val="20"/>
          <w:sz w:val="28"/>
          <w:szCs w:val="28"/>
          <w:shd w:val="clear" w:color="auto" w:fill="FFFFFF"/>
        </w:rPr>
      </w:pPr>
      <w:r>
        <w:rPr>
          <w:rFonts w:hint="eastAsia" w:ascii="仿宋" w:hAnsi="仿宋" w:eastAsia="仿宋" w:cs="仿宋"/>
          <w:color w:val="auto"/>
          <w:sz w:val="28"/>
          <w:szCs w:val="28"/>
        </w:rPr>
        <w:drawing>
          <wp:inline distT="0" distB="0" distL="114300" distR="114300">
            <wp:extent cx="4572000" cy="3409315"/>
            <wp:effectExtent l="5080" t="4445" r="13970" b="15240"/>
            <wp:docPr id="18"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 w:eastAsia="zh-CN" w:bidi="ar-SA"/>
        </w:rPr>
      </w:pPr>
      <w:r>
        <w:rPr>
          <w:rFonts w:hint="eastAsia" w:ascii="仿宋" w:hAnsi="仿宋" w:eastAsia="仿宋" w:cs="仿宋"/>
          <w:color w:val="auto"/>
          <w:spacing w:val="20"/>
          <w:sz w:val="32"/>
          <w:szCs w:val="32"/>
          <w:shd w:val="clear" w:color="auto" w:fill="FFFFFF"/>
          <w:lang w:val="en-US" w:eastAsia="zh-CN" w:bidi="ar-SA"/>
        </w:rPr>
        <w:t>在限上企业（单位）商品零售额中，粮油、食品类增长2.4%，饮料类增长11.9%，烟酒类增长27.1%，服装、鞋帽、针纺织品类增长6.7%，化妆品类增长33.6%，金银珠宝类增长29.4%，日用品类增长28.5%，体育、娱乐用品类下降17.0%，书报杂志类下降11.2%，家用电器和音像器材类下降35.9%，中西药品类下降11.9%，文化办公用品类下降6.7%，家具类下降62.9%，通讯器材类增长143.3%，石油及制品类增长30.2%，汽车类增长14.9%，其他下降10.0%。</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（六）交通运输邮政仓储业</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2021年我市交通运输、仓储和邮政业实现增加值159.52亿元，比上年增长13.4%。旅客运输量6561万人次，增长10.2%；旅客周转量386.76亿人公里，增长7.2%；货物运输量12434万吨，下降1.0%；货物周转量1552.91亿吨公里，增长3.7%；港口货物吞吐量10900万吨，增长4.1%；港口集装箱吞吐量201.09万标箱，增长2.0%。</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 w:eastAsia="zh-CN" w:bidi="ar-SA"/>
        </w:rPr>
      </w:pPr>
      <w:r>
        <w:rPr>
          <w:rFonts w:hint="eastAsia" w:ascii="仿宋" w:hAnsi="仿宋" w:eastAsia="仿宋" w:cs="仿宋"/>
          <w:color w:val="auto"/>
          <w:spacing w:val="20"/>
          <w:sz w:val="32"/>
          <w:szCs w:val="32"/>
          <w:shd w:val="clear" w:color="auto" w:fill="FFFFFF"/>
          <w:lang w:val="en-US" w:eastAsia="zh-CN" w:bidi="ar-SA"/>
        </w:rPr>
        <w:t>2021年我市完成邮电业务总量598.89亿元，增长33.6%。其中，电信业务总量584.99亿元，增长34.2%；邮政业务总量13.90亿元，增长13.9%。至年末，全市电话用户455万户，其中固定电话用户58万户；移动电话用户397万户，增加4万户。互联网宽带接入用户147万户。</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（七）金融、保险和证券</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2021年12月末，全市金融机构本外币存款余额为5839.73亿元，比年初增加675.62亿元，同比增长13.1%。其中，住户存款余额2242.18亿元，同比增长9.1%；非金融企业存款2261.06亿元，同比增长21.84%。</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2021年12月末，全市金融机构本外币各项贷款余额6839.17亿元，比年初增加348.14亿元，同比增长5.4%。其中，中长期贷款余额5152.80亿元，比年初增加368.02亿元，同比增长7.7%；短期贷款余额1042.72亿元，比年初增加13.33亿元，同比增长1.3%。</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2021年，金融业增加值占GDP比重提高到11.6%,金融业在国民经济中的地位持续上升，日益成为第三产业和国民经济的重要组成部分。</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2021年，原保险保费收入134.06亿元，较去年同期增长6.04%。其中财产险原保险保费收入45.32亿元，较去年同期增长0.04%；人寿保险原保险保费收入55.42亿元，同比增长7.82%，健康险原保险保费收入29.55亿元，同比增长17.10%，意外险原保险保费收入3.77亿元，同比下降16.09%。</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全年原保险赔付支出52.32亿元，同比增长12.88%。其中财产险赔付支出29.59亿元，同比增长8.46%，人寿保险赔付支出8.24亿元，同比下降15.11%，健康险赔付支出13.81亿元，同比增长55.97%，意外险赔付支出0.69亿元，同比增长33.99%。</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2021年，海口证券经营机构总交易金额38853.81亿元，比上年增长10.2%，其中股票交易额24158.79亿元，增长9%。年末海口市证券账户开户331.48万户，增长12.7%。全年海口期货经营机构期货交易额26772.35亿元，增长16.3%。</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（八）会展业</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2021年，首届中国国际消费品博览会这一国家级展会在我市成功举办，带动了我市展览的发展，我市全年共举办30场展览活动，同比2020年（24场）增长25%，其中1万平方米（含）以上3万平方米（不含）以下展览24场，3万平方米（含）以上展览8场，展览面积约87万平方米，同比2020年（60万平方米）增长45%。我市成功举办首届消博会，带动会展业强势复苏，2021年，我市举办规模以上会议512场，同比增长61.01%，其中千人会议51场，同比增长54.5%，积极引进2021UFI中国会员年会、2021酒业创新与投资大会、世界华人保险大会暨国际龙奖IDA年会等具有创新性、专业性会议活动落地海口。同时，消博会期间我市签约项目共38个，涵盖塑料降解项目、数字经济独角兽产业园、数字文化基地、旅游度假区项目、珠宝钻石生产加工、消费品类跨境电商等，成功举办了配套游艇展活动，游艇交易及意向投资金额超5亿人民币，实现展会期间海口市企业利用自贸港游艇“零关税”政策签约首单。</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黑体" w:hAnsi="黑体" w:eastAsia="黑体" w:cs="黑体"/>
          <w:b w:val="0"/>
          <w:bCs/>
          <w:color w:val="auto"/>
          <w:spacing w:val="20"/>
          <w:sz w:val="32"/>
          <w:szCs w:val="32"/>
          <w:shd w:val="clear" w:color="auto" w:fill="FFFFFF"/>
        </w:rPr>
      </w:pPr>
      <w:r>
        <w:rPr>
          <w:rFonts w:hint="eastAsia" w:ascii="黑体" w:hAnsi="黑体" w:eastAsia="黑体" w:cs="黑体"/>
          <w:b w:val="0"/>
          <w:bCs/>
          <w:color w:val="auto"/>
          <w:spacing w:val="20"/>
          <w:sz w:val="32"/>
          <w:szCs w:val="32"/>
          <w:shd w:val="clear" w:color="auto" w:fill="FFFFFF"/>
        </w:rPr>
        <w:t>四、对外贸易和总部经济</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（一）对外贸易</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 w:hAnsi="仿宋" w:eastAsia="仿宋" w:cs="仿宋"/>
          <w:color w:val="auto"/>
          <w:spacing w:val="20"/>
          <w:sz w:val="32"/>
          <w:szCs w:val="32"/>
          <w:shd w:val="clear" w:color="auto" w:fill="FFFFFF"/>
          <w:lang w:val="en-US" w:eastAsia="zh-CN" w:bidi="ar-SA"/>
        </w:rPr>
        <w:t>据海口海关统计，2021年我市进出口总额476.4亿元，比上年增长28.9%。其中，出口110.5亿元，增长0.2%；进口365.9亿元，增长41.1%。贸易逆差255.4亿元，上升72.9%。</w:t>
      </w:r>
    </w:p>
    <w:p>
      <w:pPr>
        <w:ind w:left="0" w:leftChars="0" w:firstLine="480" w:firstLineChars="200"/>
        <w:jc w:val="left"/>
        <w:rPr>
          <w:rFonts w:hint="eastAsia" w:ascii="仿宋" w:hAnsi="仿宋" w:eastAsia="仿宋" w:cs="仿宋"/>
          <w:color w:val="auto"/>
          <w:spacing w:val="20"/>
          <w:sz w:val="28"/>
          <w:szCs w:val="28"/>
        </w:rPr>
      </w:pPr>
      <w:r>
        <w:drawing>
          <wp:inline distT="0" distB="0" distL="114300" distR="114300">
            <wp:extent cx="4590415" cy="2669540"/>
            <wp:effectExtent l="0" t="0" r="635" b="16510"/>
            <wp:docPr id="4" name="Host Control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rPr>
      </w:pPr>
      <w:r>
        <w:rPr>
          <w:rFonts w:hint="eastAsia" w:ascii="仿宋" w:hAnsi="仿宋" w:eastAsia="仿宋" w:cs="仿宋"/>
          <w:color w:val="auto"/>
          <w:spacing w:val="20"/>
          <w:sz w:val="32"/>
          <w:szCs w:val="32"/>
        </w:rPr>
        <w:t>围绕“3+1+1”现代化产业体系，强化产业链招商，聚焦产业细分领域，结合自贸港政策，加强产业链精准招商顶层设计，并按照传统产业“强链”、新兴产业“补链”、未来产业“建链”的思路，统筹谋划产业链招商，推动自贸港内外产业链对接融合。坚持龙头企业招商和配套产业招商，大力引进和培育一批符合我市产业发展方向、集成能力强、市场占有率高、产业链拉动作用大的领军企业，力争引来一个项目、带来一串企业、形成一片产业，带动产业链上下游企业集群发展。构建书记招商引资专题会例会机制，推动市领导以及各区、各园区、市直各部门“一把手”外出开展“点对点”招商和出面接待重要客商，基本形成了招商的浓厚氛围。2021年，全市签意向金额1139.71亿元,比上年增长24.54%；签实质合同金额531.02亿元，比上年增长30.06%；实际投资额487.81亿元，比上年增长93.43%；纳税额101.39亿元，比上年增长81.44%；实际利用外资为25.66亿美元，比上年增长49%；我市签约实质合同数量163个，投资额531.02亿元，主要涉及高新技术、现代物流、医药健康、金融、数字经济等产业。</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（二）总部经济</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rPr>
      </w:pPr>
      <w:r>
        <w:rPr>
          <w:rFonts w:hint="eastAsia" w:ascii="仿宋" w:hAnsi="仿宋" w:eastAsia="仿宋" w:cs="仿宋"/>
          <w:color w:val="auto"/>
          <w:spacing w:val="20"/>
          <w:sz w:val="32"/>
          <w:szCs w:val="32"/>
        </w:rPr>
        <w:t>2021年，新增总部企业12家，目前共有总部企业43家,占海南省认定企业数量的71.7%（海南省认定总部企业共计60家）。2021年累计实现税收约55.8亿元。总部企业类型包括综合型（区域型）总部企业31家，高成长型总部企业11家，预认定总部企业1家。</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rPr>
      </w:pPr>
      <w:r>
        <w:rPr>
          <w:rFonts w:hint="eastAsia" w:ascii="仿宋" w:hAnsi="仿宋" w:eastAsia="仿宋" w:cs="仿宋"/>
          <w:color w:val="auto"/>
          <w:spacing w:val="20"/>
          <w:sz w:val="32"/>
          <w:szCs w:val="32"/>
        </w:rPr>
        <w:t>2021年海口市全年新增市场主体28</w:t>
      </w:r>
      <w:r>
        <w:rPr>
          <w:rFonts w:hint="eastAsia" w:ascii="仿宋" w:hAnsi="仿宋" w:eastAsia="仿宋" w:cs="仿宋"/>
          <w:color w:val="auto"/>
          <w:spacing w:val="20"/>
          <w:sz w:val="32"/>
          <w:szCs w:val="32"/>
          <w:lang w:val="en-US" w:eastAsia="zh-CN"/>
        </w:rPr>
        <w:t>.</w:t>
      </w:r>
      <w:r>
        <w:rPr>
          <w:rFonts w:hint="eastAsia" w:ascii="仿宋" w:hAnsi="仿宋" w:eastAsia="仿宋" w:cs="仿宋"/>
          <w:color w:val="auto"/>
          <w:spacing w:val="20"/>
          <w:sz w:val="32"/>
          <w:szCs w:val="32"/>
        </w:rPr>
        <w:t>8</w:t>
      </w:r>
      <w:r>
        <w:rPr>
          <w:rFonts w:hint="eastAsia" w:ascii="仿宋" w:hAnsi="仿宋" w:eastAsia="仿宋" w:cs="仿宋"/>
          <w:color w:val="auto"/>
          <w:spacing w:val="20"/>
          <w:sz w:val="32"/>
          <w:szCs w:val="32"/>
          <w:lang w:val="en-US" w:eastAsia="zh-CN"/>
        </w:rPr>
        <w:t>9</w:t>
      </w:r>
      <w:r>
        <w:rPr>
          <w:rFonts w:hint="eastAsia" w:ascii="仿宋" w:hAnsi="仿宋" w:eastAsia="仿宋" w:cs="仿宋"/>
          <w:color w:val="auto"/>
          <w:spacing w:val="20"/>
          <w:sz w:val="32"/>
          <w:szCs w:val="32"/>
        </w:rPr>
        <w:t>万户，比上年增长134.97%，占全省的58.04%。</w:t>
      </w:r>
      <w:r>
        <w:rPr>
          <w:rFonts w:hint="eastAsia" w:ascii="仿宋" w:hAnsi="仿宋" w:eastAsia="仿宋" w:cs="仿宋"/>
          <w:color w:val="auto"/>
          <w:spacing w:val="20"/>
          <w:sz w:val="32"/>
          <w:szCs w:val="32"/>
          <w:lang w:val="en-US" w:eastAsia="zh-CN"/>
        </w:rPr>
        <w:t>截至</w:t>
      </w:r>
      <w:r>
        <w:rPr>
          <w:rFonts w:hint="eastAsia" w:ascii="仿宋" w:hAnsi="仿宋" w:eastAsia="仿宋" w:cs="仿宋"/>
          <w:color w:val="auto"/>
          <w:spacing w:val="20"/>
          <w:sz w:val="32"/>
          <w:szCs w:val="32"/>
        </w:rPr>
        <w:t>2021年12月底，全海口市市场主体73</w:t>
      </w:r>
      <w:r>
        <w:rPr>
          <w:rFonts w:hint="eastAsia" w:ascii="仿宋" w:hAnsi="仿宋" w:eastAsia="仿宋" w:cs="仿宋"/>
          <w:color w:val="auto"/>
          <w:spacing w:val="20"/>
          <w:sz w:val="32"/>
          <w:szCs w:val="32"/>
          <w:lang w:val="en-US" w:eastAsia="zh-CN"/>
        </w:rPr>
        <w:t>.</w:t>
      </w:r>
      <w:r>
        <w:rPr>
          <w:rFonts w:hint="eastAsia" w:ascii="仿宋" w:hAnsi="仿宋" w:eastAsia="仿宋" w:cs="仿宋"/>
          <w:color w:val="auto"/>
          <w:spacing w:val="20"/>
          <w:sz w:val="32"/>
          <w:szCs w:val="32"/>
        </w:rPr>
        <w:t>16万户，占全省的45.61%。</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黑体" w:hAnsi="黑体" w:eastAsia="黑体" w:cs="黑体"/>
          <w:b w:val="0"/>
          <w:bCs/>
          <w:color w:val="auto"/>
          <w:spacing w:val="20"/>
          <w:sz w:val="32"/>
          <w:szCs w:val="32"/>
        </w:rPr>
      </w:pPr>
      <w:r>
        <w:rPr>
          <w:rFonts w:hint="eastAsia" w:ascii="黑体" w:hAnsi="黑体" w:eastAsia="黑体" w:cs="黑体"/>
          <w:b w:val="0"/>
          <w:bCs/>
          <w:color w:val="auto"/>
          <w:spacing w:val="20"/>
          <w:sz w:val="32"/>
          <w:szCs w:val="32"/>
          <w:shd w:val="clear" w:color="auto" w:fill="FFFFFF"/>
        </w:rPr>
        <w:t>五、科技、文化和体育</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（一）科技</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rPr>
      </w:pPr>
      <w:r>
        <w:rPr>
          <w:rFonts w:hint="eastAsia" w:ascii="仿宋" w:hAnsi="仿宋" w:eastAsia="仿宋" w:cs="仿宋"/>
          <w:color w:val="auto"/>
          <w:spacing w:val="20"/>
          <w:sz w:val="32"/>
          <w:szCs w:val="32"/>
        </w:rPr>
        <w:t>实施高价值专利培育，围绕医药、新材料、装备制造、热带特色高效农业、电子信息等传统优势产业和战略新兴产业重点领域，支持企业、高校院所围绕产业链核心技术和产品开展专利布局，培育高价值专利组合33个，加快产业发展和提质增效。2021年，全市专利授权同比增长55.5％，占全省65.5％；截至2021年底，全市万人有效发明专利拥有量达11.96件。2021年，全市强化政策引导，精准招引培育高新技术企业，力争全市高新技术企业总数达771家，其中：上市高企18家、国家级专精特新“小巨人”企业7家、国家重点支持“小巨人”企业2家。预计2021年高新技术产业规模以上企业实现营业收入超1000亿元，同比增长超202%。</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rPr>
      </w:pPr>
      <w:r>
        <w:rPr>
          <w:rFonts w:hint="eastAsia" w:ascii="仿宋" w:hAnsi="仿宋" w:eastAsia="仿宋" w:cs="仿宋"/>
          <w:color w:val="auto"/>
          <w:spacing w:val="20"/>
          <w:sz w:val="32"/>
          <w:szCs w:val="32"/>
        </w:rPr>
        <w:t>目前，我市累计拥有市级及以上重点实验室101家（省级实验室占全省比重82%），市级及以上工程（技术）研发中心111家（省级中占全省比重71%），拥有国家级科研平台超过6家，省级科研平台已超过100家；获批省级院士创新平台97家（占全省比重71%）。我市着力打造海口国际人才之家，设立外国人来华工作许可服务站点增至3个（江东新区、龙华区、复兴城），设立海外引智站点2个，全面提升涉外公共服务水平。2021年成功引进设立外籍院士工作站2家，2021年签批外国人来华工作许可事项共822件，同比增长34.2%。</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rPr>
      </w:pPr>
      <w:r>
        <w:rPr>
          <w:rFonts w:hint="eastAsia" w:ascii="仿宋" w:hAnsi="仿宋" w:eastAsia="仿宋" w:cs="仿宋"/>
          <w:color w:val="auto"/>
          <w:spacing w:val="20"/>
          <w:sz w:val="32"/>
          <w:szCs w:val="32"/>
        </w:rPr>
        <w:t>2021年，我市新增省级中小企业公共服务示范平台2个，新增省级小型微型企业创业创新示范基地2个；预计全市13家融资担保机构新增担保业务36.43亿元，其中为我市443家中小企业融资担保20.26亿元。</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（二）文化</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rPr>
      </w:pPr>
      <w:r>
        <w:rPr>
          <w:rFonts w:hint="eastAsia" w:ascii="仿宋" w:hAnsi="仿宋" w:eastAsia="仿宋" w:cs="仿宋"/>
          <w:color w:val="auto"/>
          <w:spacing w:val="20"/>
          <w:sz w:val="32"/>
          <w:szCs w:val="32"/>
        </w:rPr>
        <w:t>紧紧围绕举旗帜、聚民心、育新人、兴文化、展形象的使命任务,海口市演有限公司全新打造的原创舞蹈诗《锦绣家园》唯一代表海南参加第六届全国少数民族文艺会演并摘得最高奖圆梦奖“最佳剧目奖”,原创舞蹈诗《黎族家园》入选国家文旅部庆祝中国共产党成立100周年舞台艺术精品创作工程“百年百部”传统精品复排计划重点扶持作品并通过专家验收。成功入选由中宣部、国家文旅部、中国文联主办的“庆祝中国共产党成立100周年优秀舞台艺术作品展演”。市琼剧演艺有限公司创排了反映时代主旋律的现代琼剧《石斛花开》。大型古装剧《花好月圆》,在丰富群众精神文化生活的同时,促进海口演艺事业的繁荣和发展。海口市文化艺术传播研究中心王丽莹文学作品《夏至之夜》(童年在中囯丛书)荣获第五届中国出版政府奖图书提名奖。海口市群众艺术馆获得海南省旅游和文化体育厅举办的“党旗永远飘扬”第18届海南省东西南北中广场舞文艺会演暨广场舞展演活动,选送舞蹈节目必选《HAPPY自贸港》、自选《节日欢歌》荣获一等奖(省级获奖);选送音乐节目《海南情怀》荣获三等奖。创作《达达瑟》《鹿回头》《天堂鸟》《玉春堂》等精品剧目,首推琼剧4K电影《喜团圆》,这是继1962年首部琼剧电影《红叶题诗》之后海南戏曲百花园中涌现的又一精品力作。电影故事影片《旋风女队》荣获由中国国际儿童电影节组委会颁发的“最佳中国儿童片特别奖”;《房东》荣获中央宣传部教育局、中央新闻纪录电影制片厂(集团)共同举办的社会主义核心价值观主题微电影征集展示活动30分钟类二等优秀作品。油画作品《祖屋的门廊》,获得“第五届海南省优秀美术作品展”金奖;雕塑作品《家—守望》获得“今日丝绸之路国际美术邀请展”特别荣誉奖等;《村口》(水彩画)获得第六届海南省优秀美术作品展金奖。“蒙麓光艺术团队”被省委人才发展局认定为“海南自贸港首批100个人才团队”,是全省文艺团体中唯一入选的团队。</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lang w:val="en-US" w:eastAsia="zh-CN"/>
        </w:rPr>
      </w:pPr>
      <w:r>
        <w:rPr>
          <w:rFonts w:hint="eastAsia" w:ascii="仿宋" w:hAnsi="仿宋" w:eastAsia="仿宋" w:cs="仿宋"/>
          <w:color w:val="auto"/>
          <w:spacing w:val="20"/>
          <w:sz w:val="32"/>
          <w:szCs w:val="32"/>
        </w:rPr>
        <w:t>全市共有艺术表演团体36个,艺术表演场馆9个,博物馆6个,群众艺术馆1个、文化馆4个,文化站43个,公共图书馆5个。全年广播人口综合覆盖率99.17%,电视覆盖人口综合覆盖率达到99.12%。公共图书馆藏书量96.2</w:t>
      </w:r>
      <w:r>
        <w:rPr>
          <w:rFonts w:hint="eastAsia" w:ascii="仿宋" w:hAnsi="仿宋" w:eastAsia="仿宋" w:cs="仿宋"/>
          <w:color w:val="auto"/>
          <w:spacing w:val="20"/>
          <w:sz w:val="32"/>
          <w:szCs w:val="32"/>
          <w:lang w:val="en-US" w:eastAsia="zh-CN"/>
        </w:rPr>
        <w:t>2</w:t>
      </w:r>
      <w:r>
        <w:rPr>
          <w:rFonts w:hint="eastAsia" w:ascii="仿宋" w:hAnsi="仿宋" w:eastAsia="仿宋" w:cs="仿宋"/>
          <w:color w:val="auto"/>
          <w:spacing w:val="20"/>
          <w:sz w:val="32"/>
          <w:szCs w:val="32"/>
        </w:rPr>
        <w:t>万册。</w:t>
      </w:r>
    </w:p>
    <w:p>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both"/>
        <w:textAlignment w:val="auto"/>
        <w:rPr>
          <w:rFonts w:hint="eastAsia" w:ascii="楷体" w:hAnsi="楷体" w:eastAsia="楷体" w:cs="楷体"/>
          <w:b/>
          <w:color w:val="auto"/>
          <w:spacing w:val="20"/>
          <w:sz w:val="32"/>
          <w:szCs w:val="32"/>
          <w:shd w:val="clear" w:color="auto" w:fill="FFFFFF"/>
        </w:rPr>
      </w:pPr>
      <w:r>
        <w:rPr>
          <w:rFonts w:hint="eastAsia" w:ascii="楷体" w:hAnsi="楷体" w:eastAsia="楷体" w:cs="楷体"/>
          <w:b/>
          <w:bCs/>
          <w:color w:val="auto"/>
          <w:spacing w:val="20"/>
          <w:sz w:val="32"/>
          <w:szCs w:val="32"/>
        </w:rPr>
        <w:t>（</w:t>
      </w:r>
      <w:r>
        <w:rPr>
          <w:rFonts w:hint="eastAsia" w:ascii="楷体" w:hAnsi="楷体" w:eastAsia="楷体" w:cs="楷体"/>
          <w:b/>
          <w:bCs/>
          <w:color w:val="auto"/>
          <w:spacing w:val="20"/>
          <w:sz w:val="32"/>
          <w:szCs w:val="32"/>
          <w:shd w:val="clear" w:color="auto" w:fill="FFFFFF"/>
        </w:rPr>
        <w:t>三）</w:t>
      </w:r>
      <w:r>
        <w:rPr>
          <w:rFonts w:hint="eastAsia" w:ascii="楷体" w:hAnsi="楷体" w:eastAsia="楷体" w:cs="楷体"/>
          <w:b/>
          <w:color w:val="auto"/>
          <w:spacing w:val="20"/>
          <w:sz w:val="32"/>
          <w:szCs w:val="32"/>
          <w:shd w:val="clear" w:color="auto" w:fill="FFFFFF"/>
        </w:rPr>
        <w:t>体育</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rPr>
      </w:pPr>
      <w:r>
        <w:rPr>
          <w:rFonts w:hint="eastAsia" w:ascii="仿宋" w:hAnsi="仿宋" w:eastAsia="仿宋" w:cs="仿宋"/>
          <w:color w:val="auto"/>
          <w:spacing w:val="20"/>
          <w:sz w:val="32"/>
          <w:szCs w:val="32"/>
        </w:rPr>
        <w:t>2021年,体育事业发展步伐加快。海口市旅游和文化广电体育局被国家体育总局评为全国体育系统先进集体。我市培养的运动员参加国家级、省级比赛共获得金牌165枚、银牌106枚、铜牌95枚。群众体育活动覆盖面不断扩大、竞技体育影响力持续增强。亲水运动季、沙滩运动嘉年华、足球、篮球联赛、广场舞、健身太极等群众体育运动广泛开展。</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黑体" w:hAnsi="黑体" w:eastAsia="黑体" w:cs="黑体"/>
          <w:b w:val="0"/>
          <w:bCs/>
          <w:color w:val="auto"/>
          <w:spacing w:val="20"/>
          <w:sz w:val="32"/>
          <w:szCs w:val="32"/>
          <w:shd w:val="clear" w:color="auto" w:fill="FFFFFF"/>
        </w:rPr>
      </w:pPr>
      <w:r>
        <w:rPr>
          <w:rFonts w:hint="eastAsia" w:ascii="黑体" w:hAnsi="黑体" w:eastAsia="黑体" w:cs="黑体"/>
          <w:b w:val="0"/>
          <w:bCs/>
          <w:color w:val="auto"/>
          <w:spacing w:val="20"/>
          <w:sz w:val="32"/>
          <w:szCs w:val="32"/>
          <w:shd w:val="clear" w:color="auto" w:fill="FFFFFF"/>
        </w:rPr>
        <w:t>六、环境保护</w:t>
      </w:r>
    </w:p>
    <w:p>
      <w:pPr>
        <w:keepNext w:val="0"/>
        <w:keepLines w:val="0"/>
        <w:pageBreakBefore w:val="0"/>
        <w:widowControl/>
        <w:kinsoku/>
        <w:wordWrap/>
        <w:overflowPunct/>
        <w:topLinePunct w:val="0"/>
        <w:autoSpaceDE/>
        <w:autoSpaceDN/>
        <w:bidi w:val="0"/>
        <w:adjustRightInd/>
        <w:snapToGrid/>
        <w:spacing w:line="560" w:lineRule="exact"/>
        <w:ind w:left="0" w:leftChars="0" w:firstLine="720" w:firstLineChars="200"/>
        <w:jc w:val="both"/>
        <w:textAlignment w:val="auto"/>
        <w:rPr>
          <w:rFonts w:hint="eastAsia" w:ascii="仿宋" w:hAnsi="仿宋" w:eastAsia="仿宋" w:cs="仿宋"/>
          <w:color w:val="auto"/>
          <w:spacing w:val="20"/>
          <w:sz w:val="32"/>
          <w:szCs w:val="32"/>
        </w:rPr>
      </w:pPr>
      <w:r>
        <w:rPr>
          <w:rFonts w:hint="eastAsia" w:ascii="仿宋" w:hAnsi="仿宋" w:eastAsia="仿宋" w:cs="仿宋"/>
          <w:color w:val="auto"/>
          <w:spacing w:val="20"/>
          <w:sz w:val="32"/>
          <w:szCs w:val="32"/>
        </w:rPr>
        <w:t>2021年，我市城市环境空气质量情况总体良好，一级优为</w:t>
      </w:r>
      <w:r>
        <w:rPr>
          <w:rFonts w:hint="eastAsia" w:ascii="仿宋" w:hAnsi="仿宋" w:eastAsia="仿宋" w:cs="仿宋"/>
          <w:color w:val="auto"/>
          <w:spacing w:val="20"/>
          <w:sz w:val="32"/>
          <w:szCs w:val="32"/>
          <w:lang w:val="en-US" w:eastAsia="zh-CN"/>
        </w:rPr>
        <w:t>281</w:t>
      </w:r>
      <w:r>
        <w:rPr>
          <w:rFonts w:hint="eastAsia" w:ascii="仿宋" w:hAnsi="仿宋" w:eastAsia="仿宋" w:cs="仿宋"/>
          <w:color w:val="auto"/>
          <w:spacing w:val="20"/>
          <w:sz w:val="32"/>
          <w:szCs w:val="32"/>
        </w:rPr>
        <w:t>天，二级良为</w:t>
      </w:r>
      <w:r>
        <w:rPr>
          <w:rFonts w:hint="eastAsia" w:ascii="仿宋" w:hAnsi="仿宋" w:eastAsia="仿宋" w:cs="仿宋"/>
          <w:color w:val="auto"/>
          <w:spacing w:val="20"/>
          <w:sz w:val="32"/>
          <w:szCs w:val="32"/>
          <w:lang w:val="en-US" w:eastAsia="zh-CN"/>
        </w:rPr>
        <w:t>78</w:t>
      </w:r>
      <w:r>
        <w:rPr>
          <w:rFonts w:hint="eastAsia" w:ascii="仿宋" w:hAnsi="仿宋" w:eastAsia="仿宋" w:cs="仿宋"/>
          <w:color w:val="auto"/>
          <w:spacing w:val="20"/>
          <w:sz w:val="32"/>
          <w:szCs w:val="32"/>
        </w:rPr>
        <w:t>天，三级轻度污染为</w:t>
      </w:r>
      <w:r>
        <w:rPr>
          <w:rFonts w:hint="eastAsia" w:ascii="仿宋" w:hAnsi="仿宋" w:eastAsia="仿宋" w:cs="仿宋"/>
          <w:color w:val="auto"/>
          <w:spacing w:val="20"/>
          <w:sz w:val="32"/>
          <w:szCs w:val="32"/>
          <w:lang w:val="en-US" w:eastAsia="zh-CN"/>
        </w:rPr>
        <w:t>6</w:t>
      </w:r>
      <w:r>
        <w:rPr>
          <w:rFonts w:hint="eastAsia" w:ascii="仿宋" w:hAnsi="仿宋" w:eastAsia="仿宋" w:cs="仿宋"/>
          <w:color w:val="auto"/>
          <w:spacing w:val="20"/>
          <w:sz w:val="32"/>
          <w:szCs w:val="32"/>
        </w:rPr>
        <w:t>天，空气质量优良率为</w:t>
      </w:r>
      <w:r>
        <w:rPr>
          <w:rFonts w:hint="eastAsia" w:ascii="仿宋" w:hAnsi="仿宋" w:eastAsia="仿宋" w:cs="仿宋"/>
          <w:color w:val="auto"/>
          <w:spacing w:val="20"/>
          <w:sz w:val="32"/>
          <w:szCs w:val="32"/>
          <w:lang w:val="en-US" w:eastAsia="zh-CN"/>
        </w:rPr>
        <w:t>98.4</w:t>
      </w:r>
      <w:r>
        <w:rPr>
          <w:rFonts w:hint="eastAsia" w:ascii="仿宋" w:hAnsi="仿宋" w:eastAsia="仿宋" w:cs="仿宋"/>
          <w:color w:val="auto"/>
          <w:spacing w:val="20"/>
          <w:sz w:val="32"/>
          <w:szCs w:val="32"/>
        </w:rPr>
        <w:t>%；</w:t>
      </w:r>
      <w:r>
        <w:rPr>
          <w:rFonts w:hint="eastAsia" w:ascii="华文仿宋" w:hAnsi="仿宋" w:eastAsia="华文仿宋" w:cs="仿宋"/>
          <w:spacing w:val="20"/>
          <w:sz w:val="32"/>
          <w:szCs w:val="30"/>
          <w:shd w:val="clear" w:color="auto" w:fill="FFFFFF"/>
        </w:rPr>
        <w:t>PM</w:t>
      </w:r>
      <w:r>
        <w:rPr>
          <w:rFonts w:hint="eastAsia" w:ascii="华文仿宋" w:hAnsi="仿宋" w:eastAsia="华文仿宋" w:cs="仿宋"/>
          <w:spacing w:val="23"/>
          <w:sz w:val="32"/>
          <w:szCs w:val="30"/>
          <w:shd w:val="clear" w:color="auto" w:fill="FFFFFF"/>
          <w:vertAlign w:val="subscript"/>
        </w:rPr>
        <w:t>2.5</w:t>
      </w:r>
      <w:r>
        <w:rPr>
          <w:rFonts w:hint="eastAsia" w:ascii="华文仿宋" w:hAnsi="仿宋" w:eastAsia="华文仿宋" w:cs="仿宋"/>
          <w:spacing w:val="20"/>
          <w:sz w:val="32"/>
          <w:szCs w:val="30"/>
          <w:shd w:val="clear" w:color="auto" w:fill="FFFFFF"/>
        </w:rPr>
        <w:t>、PM</w:t>
      </w:r>
      <w:r>
        <w:rPr>
          <w:rFonts w:hint="eastAsia" w:ascii="华文仿宋" w:hAnsi="仿宋" w:eastAsia="华文仿宋" w:cs="仿宋"/>
          <w:spacing w:val="23"/>
          <w:sz w:val="32"/>
          <w:szCs w:val="30"/>
          <w:shd w:val="clear" w:color="auto" w:fill="FFFFFF"/>
          <w:vertAlign w:val="subscript"/>
        </w:rPr>
        <w:t>10</w:t>
      </w:r>
      <w:r>
        <w:rPr>
          <w:rFonts w:hint="eastAsia" w:ascii="仿宋" w:hAnsi="仿宋" w:eastAsia="仿宋" w:cs="仿宋"/>
          <w:color w:val="auto"/>
          <w:spacing w:val="20"/>
          <w:sz w:val="32"/>
          <w:szCs w:val="32"/>
        </w:rPr>
        <w:t>浓度分别为</w:t>
      </w:r>
      <w:r>
        <w:rPr>
          <w:rFonts w:hint="eastAsia" w:ascii="仿宋" w:hAnsi="仿宋" w:eastAsia="仿宋" w:cs="仿宋"/>
          <w:color w:val="auto"/>
          <w:spacing w:val="20"/>
          <w:sz w:val="32"/>
          <w:szCs w:val="32"/>
          <w:lang w:val="en-US" w:eastAsia="zh-CN"/>
        </w:rPr>
        <w:t>14</w:t>
      </w:r>
      <w:r>
        <w:rPr>
          <w:rFonts w:hint="eastAsia" w:ascii="仿宋" w:hAnsi="仿宋" w:eastAsia="仿宋" w:cs="仿宋"/>
          <w:color w:val="auto"/>
          <w:spacing w:val="20"/>
          <w:sz w:val="32"/>
          <w:szCs w:val="32"/>
        </w:rPr>
        <w:t>微克/立方米、</w:t>
      </w:r>
      <w:r>
        <w:rPr>
          <w:rFonts w:hint="eastAsia" w:ascii="仿宋" w:hAnsi="仿宋" w:eastAsia="仿宋" w:cs="仿宋"/>
          <w:color w:val="auto"/>
          <w:spacing w:val="20"/>
          <w:sz w:val="32"/>
          <w:szCs w:val="32"/>
          <w:lang w:val="en-US" w:eastAsia="zh-CN"/>
        </w:rPr>
        <w:t>28</w:t>
      </w:r>
      <w:r>
        <w:rPr>
          <w:rFonts w:hint="eastAsia" w:ascii="仿宋" w:hAnsi="仿宋" w:eastAsia="仿宋" w:cs="仿宋"/>
          <w:color w:val="auto"/>
          <w:spacing w:val="20"/>
          <w:sz w:val="32"/>
          <w:szCs w:val="32"/>
        </w:rPr>
        <w:t>微克/立方米，</w:t>
      </w:r>
      <w:r>
        <w:rPr>
          <w:rFonts w:hint="eastAsia" w:ascii="华文仿宋" w:hAnsi="仿宋" w:eastAsia="华文仿宋" w:cs="仿宋"/>
          <w:spacing w:val="20"/>
          <w:sz w:val="32"/>
          <w:szCs w:val="30"/>
          <w:shd w:val="clear" w:color="auto" w:fill="FFFFFF"/>
        </w:rPr>
        <w:t>PM</w:t>
      </w:r>
      <w:r>
        <w:rPr>
          <w:rFonts w:hint="eastAsia" w:ascii="华文仿宋" w:hAnsi="仿宋" w:eastAsia="华文仿宋" w:cs="仿宋"/>
          <w:spacing w:val="23"/>
          <w:sz w:val="32"/>
          <w:szCs w:val="30"/>
          <w:shd w:val="clear" w:color="auto" w:fill="FFFFFF"/>
          <w:vertAlign w:val="subscript"/>
        </w:rPr>
        <w:t>2.5</w:t>
      </w:r>
      <w:r>
        <w:rPr>
          <w:rFonts w:hint="eastAsia" w:ascii="仿宋" w:hAnsi="仿宋" w:eastAsia="仿宋" w:cs="仿宋"/>
          <w:color w:val="auto"/>
          <w:spacing w:val="20"/>
          <w:sz w:val="32"/>
          <w:szCs w:val="32"/>
          <w:lang w:val="en-US" w:eastAsia="zh-CN"/>
        </w:rPr>
        <w:t>保持最低水平，</w:t>
      </w:r>
      <w:r>
        <w:rPr>
          <w:rFonts w:hint="eastAsia" w:ascii="华文仿宋" w:hAnsi="仿宋" w:eastAsia="华文仿宋" w:cs="仿宋"/>
          <w:spacing w:val="20"/>
          <w:sz w:val="32"/>
          <w:szCs w:val="30"/>
          <w:shd w:val="clear" w:color="auto" w:fill="FFFFFF"/>
        </w:rPr>
        <w:t>PM</w:t>
      </w:r>
      <w:r>
        <w:rPr>
          <w:rFonts w:hint="eastAsia" w:ascii="华文仿宋" w:hAnsi="仿宋" w:eastAsia="华文仿宋" w:cs="仿宋"/>
          <w:spacing w:val="23"/>
          <w:sz w:val="32"/>
          <w:szCs w:val="30"/>
          <w:shd w:val="clear" w:color="auto" w:fill="FFFFFF"/>
          <w:vertAlign w:val="subscript"/>
        </w:rPr>
        <w:t>10</w:t>
      </w:r>
      <w:r>
        <w:rPr>
          <w:rFonts w:hint="eastAsia" w:ascii="仿宋_GB2312" w:hAnsi="仿宋_GB2312" w:eastAsia="仿宋_GB2312" w:cs="仿宋_GB2312"/>
          <w:b w:val="0"/>
          <w:spacing w:val="20"/>
          <w:sz w:val="32"/>
          <w:szCs w:val="32"/>
          <w:lang w:val="en-US" w:eastAsia="zh-CN"/>
        </w:rPr>
        <w:t>、NO</w:t>
      </w:r>
      <w:r>
        <w:rPr>
          <w:rFonts w:hint="eastAsia" w:ascii="华文仿宋" w:hAnsi="仿宋" w:eastAsia="华文仿宋" w:cs="仿宋"/>
          <w:spacing w:val="23"/>
          <w:sz w:val="32"/>
          <w:szCs w:val="30"/>
          <w:shd w:val="clear" w:color="auto" w:fill="FFFFFF"/>
          <w:vertAlign w:val="subscript"/>
          <w:lang w:val="en-US" w:eastAsia="zh-CN"/>
        </w:rPr>
        <w:t>2</w:t>
      </w:r>
      <w:r>
        <w:rPr>
          <w:rFonts w:hint="eastAsia" w:ascii="仿宋_GB2312" w:hAnsi="仿宋_GB2312" w:eastAsia="仿宋_GB2312" w:cs="仿宋_GB2312"/>
          <w:b w:val="0"/>
          <w:spacing w:val="20"/>
          <w:sz w:val="32"/>
          <w:szCs w:val="32"/>
          <w:lang w:val="en-US" w:eastAsia="zh-CN"/>
        </w:rPr>
        <w:t>、CO</w:t>
      </w:r>
      <w:r>
        <w:rPr>
          <w:rFonts w:hint="eastAsia" w:ascii="仿宋" w:hAnsi="仿宋" w:eastAsia="仿宋" w:cs="仿宋"/>
          <w:color w:val="auto"/>
          <w:spacing w:val="20"/>
          <w:sz w:val="32"/>
          <w:szCs w:val="32"/>
          <w:lang w:val="en-US" w:eastAsia="zh-CN"/>
        </w:rPr>
        <w:t>浓度再创新低。</w:t>
      </w:r>
      <w:r>
        <w:rPr>
          <w:rFonts w:hint="eastAsia" w:ascii="仿宋" w:hAnsi="仿宋" w:eastAsia="仿宋" w:cs="仿宋"/>
          <w:color w:val="auto"/>
          <w:spacing w:val="20"/>
          <w:sz w:val="32"/>
          <w:szCs w:val="32"/>
        </w:rPr>
        <w:t>城市集中式饮用水水源保护区</w:t>
      </w:r>
      <w:r>
        <w:rPr>
          <w:rFonts w:hint="eastAsia" w:ascii="仿宋" w:hAnsi="仿宋" w:eastAsia="仿宋" w:cs="仿宋"/>
          <w:color w:val="auto"/>
          <w:spacing w:val="20"/>
          <w:sz w:val="32"/>
          <w:szCs w:val="32"/>
          <w:lang w:val="en-US" w:eastAsia="zh-CN"/>
        </w:rPr>
        <w:t>2</w:t>
      </w:r>
      <w:r>
        <w:rPr>
          <w:rFonts w:hint="eastAsia" w:ascii="仿宋" w:hAnsi="仿宋" w:eastAsia="仿宋" w:cs="仿宋"/>
          <w:color w:val="auto"/>
          <w:spacing w:val="20"/>
          <w:sz w:val="32"/>
          <w:szCs w:val="32"/>
        </w:rPr>
        <w:t>个，水质达标率为</w:t>
      </w:r>
      <w:r>
        <w:rPr>
          <w:rFonts w:hint="eastAsia" w:ascii="仿宋" w:hAnsi="仿宋" w:eastAsia="仿宋" w:cs="仿宋"/>
          <w:color w:val="auto"/>
          <w:spacing w:val="20"/>
          <w:sz w:val="32"/>
          <w:szCs w:val="32"/>
          <w:lang w:val="en-US" w:eastAsia="zh-CN"/>
        </w:rPr>
        <w:t>100</w:t>
      </w:r>
      <w:r>
        <w:rPr>
          <w:rFonts w:hint="eastAsia" w:ascii="仿宋" w:hAnsi="仿宋" w:eastAsia="仿宋" w:cs="仿宋"/>
          <w:color w:val="auto"/>
          <w:spacing w:val="20"/>
          <w:sz w:val="32"/>
          <w:szCs w:val="32"/>
        </w:rPr>
        <w:t>%。地表水国控</w:t>
      </w:r>
      <w:r>
        <w:rPr>
          <w:rFonts w:hint="eastAsia" w:ascii="仿宋" w:hAnsi="仿宋" w:eastAsia="仿宋" w:cs="仿宋"/>
          <w:color w:val="auto"/>
          <w:spacing w:val="20"/>
          <w:sz w:val="32"/>
          <w:szCs w:val="32"/>
          <w:lang w:val="en-US" w:eastAsia="zh-CN"/>
        </w:rPr>
        <w:t>考核</w:t>
      </w:r>
      <w:r>
        <w:rPr>
          <w:rFonts w:hint="eastAsia" w:ascii="仿宋" w:hAnsi="仿宋" w:eastAsia="仿宋" w:cs="仿宋"/>
          <w:color w:val="auto"/>
          <w:spacing w:val="20"/>
          <w:sz w:val="32"/>
          <w:szCs w:val="32"/>
        </w:rPr>
        <w:t>断面</w:t>
      </w:r>
      <w:r>
        <w:rPr>
          <w:rFonts w:hint="eastAsia" w:ascii="仿宋" w:hAnsi="仿宋" w:eastAsia="仿宋" w:cs="仿宋"/>
          <w:color w:val="auto"/>
          <w:spacing w:val="20"/>
          <w:sz w:val="32"/>
          <w:szCs w:val="32"/>
          <w:lang w:val="en-US" w:eastAsia="zh-CN"/>
        </w:rPr>
        <w:t>4</w:t>
      </w:r>
      <w:r>
        <w:rPr>
          <w:rFonts w:hint="eastAsia" w:ascii="仿宋" w:hAnsi="仿宋" w:eastAsia="仿宋" w:cs="仿宋"/>
          <w:color w:val="auto"/>
          <w:spacing w:val="20"/>
          <w:sz w:val="32"/>
          <w:szCs w:val="32"/>
        </w:rPr>
        <w:t>个，水质优良率为</w:t>
      </w:r>
      <w:r>
        <w:rPr>
          <w:rFonts w:hint="eastAsia" w:ascii="仿宋" w:hAnsi="仿宋" w:eastAsia="仿宋" w:cs="仿宋"/>
          <w:color w:val="auto"/>
          <w:spacing w:val="20"/>
          <w:sz w:val="32"/>
          <w:szCs w:val="32"/>
          <w:lang w:val="en-US" w:eastAsia="zh-CN"/>
        </w:rPr>
        <w:t>75</w:t>
      </w:r>
      <w:r>
        <w:rPr>
          <w:rFonts w:hint="eastAsia" w:ascii="仿宋" w:hAnsi="仿宋" w:eastAsia="仿宋" w:cs="仿宋"/>
          <w:color w:val="auto"/>
          <w:spacing w:val="20"/>
          <w:sz w:val="32"/>
          <w:szCs w:val="32"/>
        </w:rPr>
        <w:t>%。地表水省控</w:t>
      </w:r>
      <w:r>
        <w:rPr>
          <w:rFonts w:hint="eastAsia" w:ascii="仿宋" w:hAnsi="仿宋" w:eastAsia="仿宋" w:cs="仿宋"/>
          <w:color w:val="auto"/>
          <w:spacing w:val="20"/>
          <w:sz w:val="32"/>
          <w:szCs w:val="32"/>
          <w:lang w:val="en-US" w:eastAsia="zh-CN"/>
        </w:rPr>
        <w:t>考核</w:t>
      </w:r>
      <w:r>
        <w:rPr>
          <w:rFonts w:hint="eastAsia" w:ascii="仿宋" w:hAnsi="仿宋" w:eastAsia="仿宋" w:cs="仿宋"/>
          <w:color w:val="auto"/>
          <w:spacing w:val="20"/>
          <w:sz w:val="32"/>
          <w:szCs w:val="32"/>
        </w:rPr>
        <w:t>断面</w:t>
      </w:r>
      <w:r>
        <w:rPr>
          <w:rFonts w:hint="eastAsia" w:ascii="仿宋" w:hAnsi="仿宋" w:eastAsia="仿宋" w:cs="仿宋"/>
          <w:color w:val="auto"/>
          <w:spacing w:val="20"/>
          <w:sz w:val="32"/>
          <w:szCs w:val="32"/>
          <w:lang w:val="en-US" w:eastAsia="zh-CN"/>
        </w:rPr>
        <w:t>9</w:t>
      </w:r>
      <w:r>
        <w:rPr>
          <w:rFonts w:hint="eastAsia" w:ascii="仿宋" w:hAnsi="仿宋" w:eastAsia="仿宋" w:cs="仿宋"/>
          <w:color w:val="auto"/>
          <w:spacing w:val="20"/>
          <w:sz w:val="32"/>
          <w:szCs w:val="32"/>
        </w:rPr>
        <w:t>个，水质优良率为</w:t>
      </w:r>
      <w:r>
        <w:rPr>
          <w:rFonts w:hint="eastAsia" w:ascii="仿宋" w:hAnsi="仿宋" w:eastAsia="仿宋" w:cs="仿宋"/>
          <w:color w:val="auto"/>
          <w:spacing w:val="20"/>
          <w:sz w:val="32"/>
          <w:szCs w:val="32"/>
          <w:lang w:val="en-US" w:eastAsia="zh-CN"/>
        </w:rPr>
        <w:t>88.9</w:t>
      </w:r>
      <w:r>
        <w:rPr>
          <w:rFonts w:hint="eastAsia" w:ascii="仿宋" w:hAnsi="仿宋" w:eastAsia="仿宋" w:cs="仿宋"/>
          <w:color w:val="auto"/>
          <w:spacing w:val="20"/>
          <w:sz w:val="32"/>
          <w:szCs w:val="32"/>
        </w:rPr>
        <w:t>%。城镇内河（湖）监测断面</w:t>
      </w:r>
      <w:r>
        <w:rPr>
          <w:rFonts w:hint="eastAsia" w:ascii="仿宋" w:hAnsi="仿宋" w:eastAsia="仿宋" w:cs="仿宋"/>
          <w:color w:val="auto"/>
          <w:spacing w:val="20"/>
          <w:sz w:val="32"/>
          <w:szCs w:val="32"/>
          <w:lang w:val="en-US" w:eastAsia="zh-CN"/>
        </w:rPr>
        <w:t>33</w:t>
      </w:r>
      <w:r>
        <w:rPr>
          <w:rFonts w:hint="eastAsia" w:ascii="仿宋" w:hAnsi="仿宋" w:eastAsia="仿宋" w:cs="仿宋"/>
          <w:color w:val="auto"/>
          <w:spacing w:val="20"/>
          <w:sz w:val="32"/>
          <w:szCs w:val="32"/>
        </w:rPr>
        <w:t>个，水质达标率为</w:t>
      </w:r>
      <w:r>
        <w:rPr>
          <w:rFonts w:hint="eastAsia" w:ascii="仿宋" w:hAnsi="仿宋" w:eastAsia="仿宋" w:cs="仿宋"/>
          <w:color w:val="auto"/>
          <w:spacing w:val="20"/>
          <w:sz w:val="32"/>
          <w:szCs w:val="32"/>
          <w:lang w:val="en-US" w:eastAsia="zh-CN"/>
        </w:rPr>
        <w:t>93.8</w:t>
      </w:r>
      <w:r>
        <w:rPr>
          <w:rFonts w:hint="eastAsia" w:ascii="仿宋" w:hAnsi="仿宋" w:eastAsia="仿宋" w:cs="仿宋"/>
          <w:color w:val="auto"/>
          <w:spacing w:val="20"/>
          <w:sz w:val="32"/>
          <w:szCs w:val="32"/>
        </w:rPr>
        <w:t>%（其中：</w:t>
      </w:r>
      <w:r>
        <w:rPr>
          <w:rFonts w:hint="eastAsia" w:ascii="仿宋" w:hAnsi="仿宋" w:eastAsia="仿宋" w:cs="仿宋"/>
          <w:color w:val="auto"/>
          <w:spacing w:val="20"/>
          <w:sz w:val="32"/>
          <w:szCs w:val="32"/>
          <w:lang w:val="en-US" w:eastAsia="zh-CN"/>
        </w:rPr>
        <w:t>29</w:t>
      </w:r>
      <w:r>
        <w:rPr>
          <w:rFonts w:hint="eastAsia" w:ascii="仿宋" w:hAnsi="仿宋" w:eastAsia="仿宋" w:cs="仿宋"/>
          <w:color w:val="auto"/>
          <w:spacing w:val="20"/>
          <w:sz w:val="32"/>
          <w:szCs w:val="32"/>
        </w:rPr>
        <w:t>个省级考核断面水质达标率为</w:t>
      </w:r>
      <w:r>
        <w:rPr>
          <w:rFonts w:hint="eastAsia" w:ascii="仿宋" w:hAnsi="仿宋" w:eastAsia="仿宋" w:cs="仿宋"/>
          <w:color w:val="auto"/>
          <w:spacing w:val="20"/>
          <w:sz w:val="32"/>
          <w:szCs w:val="32"/>
          <w:lang w:val="en-US" w:eastAsia="zh-CN"/>
        </w:rPr>
        <w:t>93.1</w:t>
      </w:r>
      <w:r>
        <w:rPr>
          <w:rFonts w:hint="eastAsia" w:ascii="仿宋" w:hAnsi="仿宋" w:eastAsia="仿宋" w:cs="仿宋"/>
          <w:color w:val="auto"/>
          <w:spacing w:val="20"/>
          <w:sz w:val="32"/>
          <w:szCs w:val="32"/>
        </w:rPr>
        <w:t>%。</w:t>
      </w:r>
      <w:r>
        <w:rPr>
          <w:rFonts w:hint="eastAsia" w:ascii="仿宋" w:hAnsi="仿宋" w:eastAsia="仿宋" w:cs="仿宋"/>
          <w:color w:val="auto"/>
          <w:spacing w:val="20"/>
          <w:sz w:val="32"/>
          <w:szCs w:val="32"/>
          <w:lang w:val="en-US" w:eastAsia="zh-CN"/>
        </w:rPr>
        <w:t>4</w:t>
      </w:r>
      <w:r>
        <w:rPr>
          <w:rFonts w:hint="eastAsia" w:ascii="仿宋" w:hAnsi="仿宋" w:eastAsia="仿宋" w:cs="仿宋"/>
          <w:color w:val="auto"/>
          <w:spacing w:val="20"/>
          <w:sz w:val="32"/>
          <w:szCs w:val="32"/>
        </w:rPr>
        <w:t>个市级考核断面水质达标率为</w:t>
      </w:r>
      <w:r>
        <w:rPr>
          <w:rFonts w:hint="eastAsia" w:ascii="仿宋" w:hAnsi="仿宋" w:eastAsia="仿宋" w:cs="仿宋"/>
          <w:color w:val="auto"/>
          <w:spacing w:val="20"/>
          <w:sz w:val="32"/>
          <w:szCs w:val="32"/>
          <w:lang w:val="en-US" w:eastAsia="zh-CN"/>
        </w:rPr>
        <w:t>100</w:t>
      </w:r>
      <w:r>
        <w:rPr>
          <w:rFonts w:hint="eastAsia" w:ascii="仿宋" w:hAnsi="仿宋" w:eastAsia="仿宋" w:cs="仿宋"/>
          <w:color w:val="auto"/>
          <w:spacing w:val="20"/>
          <w:sz w:val="32"/>
          <w:szCs w:val="32"/>
        </w:rPr>
        <w:t>%）。国家认定的我市19个（21处）黑臭水体，</w:t>
      </w:r>
      <w:r>
        <w:rPr>
          <w:rFonts w:hint="eastAsia" w:ascii="仿宋" w:hAnsi="仿宋" w:eastAsia="仿宋" w:cs="仿宋"/>
          <w:color w:val="auto"/>
          <w:spacing w:val="20"/>
          <w:sz w:val="32"/>
          <w:szCs w:val="32"/>
          <w:lang w:val="en-US" w:eastAsia="zh-CN"/>
        </w:rPr>
        <w:t>2021年12月份</w:t>
      </w:r>
      <w:r>
        <w:rPr>
          <w:rFonts w:hint="eastAsia" w:ascii="仿宋" w:hAnsi="仿宋" w:eastAsia="仿宋" w:cs="仿宋"/>
          <w:color w:val="auto"/>
          <w:spacing w:val="20"/>
          <w:sz w:val="32"/>
          <w:szCs w:val="32"/>
        </w:rPr>
        <w:t>黑臭消除率为</w:t>
      </w:r>
      <w:r>
        <w:rPr>
          <w:rFonts w:hint="eastAsia" w:ascii="仿宋" w:hAnsi="仿宋" w:eastAsia="仿宋" w:cs="仿宋"/>
          <w:color w:val="auto"/>
          <w:spacing w:val="20"/>
          <w:sz w:val="32"/>
          <w:szCs w:val="32"/>
          <w:lang w:val="en-US" w:eastAsia="zh-CN"/>
        </w:rPr>
        <w:t>100</w:t>
      </w:r>
      <w:r>
        <w:rPr>
          <w:rFonts w:hint="eastAsia" w:ascii="仿宋" w:hAnsi="仿宋" w:eastAsia="仿宋" w:cs="仿宋"/>
          <w:color w:val="auto"/>
          <w:spacing w:val="20"/>
          <w:sz w:val="32"/>
          <w:szCs w:val="32"/>
        </w:rPr>
        <w:t>%。</w:t>
      </w:r>
    </w:p>
    <w:p>
      <w:pPr>
        <w:pStyle w:val="2"/>
        <w:keepNext w:val="0"/>
        <w:keepLines w:val="0"/>
        <w:pageBreakBefore w:val="0"/>
        <w:widowControl/>
        <w:kinsoku/>
        <w:wordWrap/>
        <w:overflowPunct/>
        <w:topLinePunct w:val="0"/>
        <w:autoSpaceDE/>
        <w:autoSpaceDN/>
        <w:bidi w:val="0"/>
        <w:adjustRightInd/>
        <w:snapToGrid/>
        <w:spacing w:line="560" w:lineRule="exact"/>
        <w:rPr>
          <w:rFonts w:hint="eastAsia" w:ascii="仿宋" w:hAnsi="仿宋" w:eastAsia="仿宋" w:cs="仿宋"/>
          <w:sz w:val="28"/>
          <w:szCs w:val="28"/>
        </w:rPr>
      </w:pPr>
    </w:p>
    <w:p>
      <w:pPr>
        <w:keepNext w:val="0"/>
        <w:keepLines w:val="0"/>
        <w:pageBreakBefore w:val="0"/>
        <w:widowControl/>
        <w:kinsoku/>
        <w:wordWrap/>
        <w:overflowPunct/>
        <w:topLinePunct w:val="0"/>
        <w:autoSpaceDE/>
        <w:autoSpaceDN/>
        <w:bidi w:val="0"/>
        <w:adjustRightInd/>
        <w:snapToGrid/>
        <w:spacing w:line="520" w:lineRule="exact"/>
        <w:ind w:left="0" w:leftChars="0" w:firstLine="640" w:firstLineChars="200"/>
        <w:jc w:val="both"/>
        <w:textAlignment w:val="auto"/>
        <w:rPr>
          <w:rFonts w:hint="eastAsia" w:ascii="黑体" w:hAnsi="黑体" w:eastAsia="黑体" w:cs="黑体"/>
          <w:color w:val="auto"/>
          <w:spacing w:val="20"/>
          <w:sz w:val="28"/>
          <w:szCs w:val="28"/>
          <w:shd w:val="clear" w:color="auto" w:fill="FFFFFF"/>
        </w:rPr>
      </w:pPr>
      <w:r>
        <w:rPr>
          <w:rFonts w:hint="eastAsia" w:ascii="黑体" w:hAnsi="黑体" w:eastAsia="黑体" w:cs="黑体"/>
          <w:color w:val="auto"/>
          <w:spacing w:val="20"/>
          <w:sz w:val="28"/>
          <w:szCs w:val="28"/>
          <w:shd w:val="clear" w:color="auto" w:fill="FFFFFF"/>
        </w:rPr>
        <w:t>注释：</w:t>
      </w:r>
    </w:p>
    <w:p>
      <w:pPr>
        <w:keepNext w:val="0"/>
        <w:keepLines w:val="0"/>
        <w:pageBreakBefore w:val="0"/>
        <w:widowControl/>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Theme="minorEastAsia" w:hAnsiTheme="minorEastAsia" w:eastAsiaTheme="minorEastAsia" w:cstheme="minorEastAsia"/>
          <w:color w:val="auto"/>
          <w:spacing w:val="20"/>
          <w:sz w:val="24"/>
          <w:szCs w:val="24"/>
          <w:shd w:val="clear" w:color="auto" w:fill="FFFFFF"/>
        </w:rPr>
      </w:pPr>
      <w:r>
        <w:rPr>
          <w:rFonts w:hint="eastAsia" w:asciiTheme="minorEastAsia" w:hAnsiTheme="minorEastAsia" w:eastAsiaTheme="minorEastAsia" w:cstheme="minorEastAsia"/>
          <w:color w:val="auto"/>
          <w:spacing w:val="20"/>
          <w:sz w:val="24"/>
          <w:szCs w:val="24"/>
          <w:shd w:val="clear" w:color="auto" w:fill="FFFFFF"/>
        </w:rPr>
        <w:t>1.本公报部分数据为初步统计数，部分数据为预计数，最终核实数以中国统计出版社出版的《海口统计年鉴－2022》公布的数据为准；</w:t>
      </w:r>
    </w:p>
    <w:p>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Theme="minorEastAsia" w:hAnsiTheme="minorEastAsia" w:eastAsiaTheme="minorEastAsia" w:cstheme="minorEastAsia"/>
          <w:color w:val="auto"/>
          <w:spacing w:val="20"/>
          <w:sz w:val="24"/>
          <w:szCs w:val="24"/>
          <w:shd w:val="clear" w:color="auto" w:fill="FFFFFF"/>
        </w:rPr>
      </w:pPr>
      <w:r>
        <w:rPr>
          <w:rFonts w:hint="eastAsia" w:asciiTheme="minorEastAsia" w:hAnsiTheme="minorEastAsia" w:eastAsiaTheme="minorEastAsia" w:cstheme="minorEastAsia"/>
          <w:color w:val="auto"/>
          <w:spacing w:val="20"/>
          <w:sz w:val="24"/>
          <w:szCs w:val="24"/>
          <w:shd w:val="clear" w:color="auto" w:fill="FFFFFF"/>
        </w:rPr>
        <w:t>2.地区生产总值和各产业增加值绝对数按现行价格计算，增长速度按可比价格计算。根据《国民经济行业分类》（GB/T4754-2011）对三次产业进行划分；</w:t>
      </w:r>
    </w:p>
    <w:p>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Theme="minorEastAsia" w:hAnsiTheme="minorEastAsia" w:eastAsiaTheme="minorEastAsia" w:cstheme="minorEastAsia"/>
          <w:color w:val="auto"/>
          <w:spacing w:val="20"/>
          <w:sz w:val="24"/>
          <w:szCs w:val="24"/>
          <w:shd w:val="clear" w:color="auto" w:fill="FFFFFF"/>
        </w:rPr>
      </w:pPr>
      <w:r>
        <w:rPr>
          <w:rFonts w:hint="eastAsia" w:asciiTheme="minorEastAsia" w:hAnsiTheme="minorEastAsia" w:eastAsiaTheme="minorEastAsia" w:cstheme="minorEastAsia"/>
          <w:color w:val="auto"/>
          <w:spacing w:val="20"/>
          <w:sz w:val="24"/>
          <w:szCs w:val="24"/>
          <w:shd w:val="clear" w:color="auto" w:fill="FFFFFF"/>
        </w:rPr>
        <w:t>3.本公报中部分指标合计数与分项数有出入主要是由于四舍五入的原因，均未作机械调整。</w:t>
      </w:r>
    </w:p>
    <w:p>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Theme="minorEastAsia" w:hAnsiTheme="minorEastAsia" w:eastAsiaTheme="minorEastAsia" w:cstheme="minorEastAsia"/>
          <w:color w:val="auto"/>
          <w:spacing w:val="20"/>
          <w:sz w:val="24"/>
          <w:szCs w:val="24"/>
          <w:shd w:val="clear" w:color="auto" w:fill="FFFFFF"/>
        </w:rPr>
      </w:pPr>
      <w:r>
        <w:rPr>
          <w:rFonts w:hint="eastAsia" w:asciiTheme="minorEastAsia" w:hAnsiTheme="minorEastAsia" w:eastAsiaTheme="minorEastAsia" w:cstheme="minorEastAsia"/>
          <w:color w:val="auto"/>
          <w:spacing w:val="20"/>
          <w:sz w:val="24"/>
          <w:szCs w:val="24"/>
          <w:shd w:val="clear" w:color="auto" w:fill="FFFFFF"/>
        </w:rPr>
        <w:t>资料来源：</w:t>
      </w:r>
    </w:p>
    <w:p>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Theme="minorEastAsia" w:hAnsiTheme="minorEastAsia" w:eastAsiaTheme="minorEastAsia" w:cstheme="minorEastAsia"/>
          <w:color w:val="auto"/>
          <w:spacing w:val="20"/>
          <w:sz w:val="24"/>
          <w:szCs w:val="24"/>
        </w:rPr>
      </w:pPr>
      <w:r>
        <w:rPr>
          <w:rFonts w:hint="eastAsia" w:asciiTheme="minorEastAsia" w:hAnsiTheme="minorEastAsia" w:eastAsiaTheme="minorEastAsia" w:cstheme="minorEastAsia"/>
          <w:color w:val="auto"/>
          <w:spacing w:val="20"/>
          <w:sz w:val="24"/>
          <w:szCs w:val="24"/>
          <w:shd w:val="clear" w:color="auto" w:fill="FFFFFF"/>
        </w:rPr>
        <w:t>本公报中财政数据来自市财政局，江东新区规划建设数据来自市江东新区管理局，价格和居民收入数据来自国家统计局海口调查队，招商引资、</w:t>
      </w:r>
      <w:r>
        <w:rPr>
          <w:rFonts w:hint="eastAsia" w:asciiTheme="minorEastAsia" w:hAnsiTheme="minorEastAsia" w:eastAsiaTheme="minorEastAsia" w:cstheme="minorEastAsia"/>
          <w:color w:val="auto"/>
          <w:spacing w:val="20"/>
          <w:sz w:val="24"/>
          <w:szCs w:val="24"/>
          <w:shd w:val="clear" w:color="auto" w:fill="FFFFFF"/>
          <w:lang w:eastAsia="zh-CN"/>
        </w:rPr>
        <w:t>总部经济、</w:t>
      </w:r>
      <w:r>
        <w:rPr>
          <w:rFonts w:hint="eastAsia" w:asciiTheme="minorEastAsia" w:hAnsiTheme="minorEastAsia" w:eastAsiaTheme="minorEastAsia" w:cstheme="minorEastAsia"/>
          <w:color w:val="auto"/>
          <w:spacing w:val="20"/>
          <w:sz w:val="24"/>
          <w:szCs w:val="24"/>
          <w:shd w:val="clear" w:color="auto" w:fill="FFFFFF"/>
        </w:rPr>
        <w:t>对外经济和会展数据来自市商务局，进出口数据来自海口海关，货物、旅客运输及周转量、港口吞吐量数据来自市交通港航局、粤海铁公司、南航海南公司、海航公司，邮电通信数据来自市邮政管理局、移动海南公司、电信海南公司、联通海南公司，旅游、文化和体育数据来自市旅文局，社会保险和就业数据来自市人社局，医疗保险数据来自市医疗保障局，教育数据来自市教育局，医疗卫生数据来自市卫健委，</w:t>
      </w:r>
      <w:r>
        <w:rPr>
          <w:rFonts w:hint="eastAsia" w:asciiTheme="minorEastAsia" w:hAnsiTheme="minorEastAsia" w:eastAsiaTheme="minorEastAsia" w:cstheme="minorEastAsia"/>
          <w:color w:val="auto"/>
          <w:spacing w:val="20"/>
          <w:sz w:val="24"/>
          <w:szCs w:val="24"/>
          <w:shd w:val="clear" w:color="auto" w:fill="FFFFFF"/>
          <w:lang w:eastAsia="zh-CN"/>
        </w:rPr>
        <w:t>乡村振兴</w:t>
      </w:r>
      <w:r>
        <w:rPr>
          <w:rFonts w:hint="eastAsia" w:asciiTheme="minorEastAsia" w:hAnsiTheme="minorEastAsia" w:eastAsiaTheme="minorEastAsia" w:cstheme="minorEastAsia"/>
          <w:color w:val="auto"/>
          <w:spacing w:val="20"/>
          <w:sz w:val="24"/>
          <w:szCs w:val="24"/>
          <w:shd w:val="clear" w:color="auto" w:fill="FFFFFF"/>
        </w:rPr>
        <w:t>数据来自市</w:t>
      </w:r>
      <w:r>
        <w:rPr>
          <w:rFonts w:hint="eastAsia" w:asciiTheme="minorEastAsia" w:hAnsiTheme="minorEastAsia" w:eastAsiaTheme="minorEastAsia" w:cstheme="minorEastAsia"/>
          <w:color w:val="auto"/>
          <w:spacing w:val="20"/>
          <w:sz w:val="24"/>
          <w:szCs w:val="24"/>
          <w:shd w:val="clear" w:color="auto" w:fill="FFFFFF"/>
          <w:lang w:eastAsia="zh-CN"/>
        </w:rPr>
        <w:t>农业农村局、市供销社</w:t>
      </w:r>
      <w:r>
        <w:rPr>
          <w:rFonts w:hint="eastAsia" w:asciiTheme="minorEastAsia" w:hAnsiTheme="minorEastAsia" w:eastAsiaTheme="minorEastAsia" w:cstheme="minorEastAsia"/>
          <w:color w:val="auto"/>
          <w:spacing w:val="20"/>
          <w:sz w:val="24"/>
          <w:szCs w:val="24"/>
          <w:shd w:val="clear" w:color="auto" w:fill="FFFFFF"/>
        </w:rPr>
        <w:t>，科技数据来自市市场监督管理局和市科工信局，环境保护数据来自市生态环境局、市水务局和市园林环卫局，安全生产数据来自市应急管理局，金融机构数据来自中国人民银行海口中心支行，保险保费收入数据来自中国银行保险监督管理委员会海南监管局，证券交易金额数据来自中国证券监督管理委员会海南监管局，其他数据均来自市统计局。</w:t>
      </w:r>
    </w:p>
    <w:p>
      <w:pPr>
        <w:ind w:left="0" w:leftChars="0"/>
        <w:jc w:val="both"/>
        <w:rPr>
          <w:rFonts w:hint="eastAsia" w:ascii="仿宋" w:hAnsi="仿宋" w:eastAsia="仿宋" w:cs="仿宋"/>
          <w:color w:val="auto"/>
          <w:spacing w:val="20"/>
          <w:sz w:val="28"/>
          <w:szCs w:val="28"/>
          <w:lang w:val="en"/>
        </w:rPr>
      </w:pPr>
    </w:p>
    <w:p>
      <w:pPr>
        <w:spacing w:line="276" w:lineRule="auto"/>
        <w:ind w:left="0" w:leftChars="0"/>
        <w:jc w:val="both"/>
        <w:rPr>
          <w:rFonts w:hint="eastAsia" w:ascii="仿宋" w:hAnsi="仿宋" w:eastAsia="仿宋" w:cs="仿宋"/>
          <w:color w:val="auto"/>
          <w:spacing w:val="20"/>
          <w:sz w:val="28"/>
          <w:szCs w:val="28"/>
          <w:lang w:val="en"/>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仿宋">
    <w:altName w:val="仿宋"/>
    <w:panose1 w:val="02010600040101010101"/>
    <w:charset w:val="00"/>
    <w:family w:val="auto"/>
    <w:pitch w:val="default"/>
    <w:sig w:usb0="00000000" w:usb1="00000000" w:usb2="00000010" w:usb3="00000000" w:csb0="0004009F" w:csb1="00000000"/>
  </w:font>
  <w:font w:name="仿宋_GB2312">
    <w:altName w:val="仿宋"/>
    <w:panose1 w:val="02010609030101010101"/>
    <w:charset w:val="86"/>
    <w:family w:val="roma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rFonts w:hint="eastAsia" w:ascii="仿宋" w:hAnsi="仿宋" w:eastAsia="仿宋" w:cs="仿宋"/>
        <w:sz w:val="28"/>
        <w:szCs w:val="28"/>
      </w:rPr>
    </w:pPr>
    <w:r>
      <w:rPr>
        <w:rFonts w:hint="eastAsia" w:ascii="仿宋" w:hAnsi="仿宋" w:eastAsia="仿宋" w:cs="仿宋"/>
        <w:sz w:val="28"/>
        <w:szCs w:val="2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531071120"/>
                            <w:docPartObj>
                              <w:docPartGallery w:val="autotext"/>
                            </w:docPartObj>
                          </w:sdtPr>
                          <w:sdtEndPr>
                            <w:rPr>
                              <w:rFonts w:hint="eastAsia" w:ascii="仿宋" w:hAnsi="仿宋" w:eastAsia="仿宋" w:cs="仿宋"/>
                              <w:sz w:val="28"/>
                              <w:szCs w:val="28"/>
                            </w:rPr>
                          </w:sdtEndPr>
                          <w:sdtContent>
                            <w:p>
                              <w:pPr>
                                <w:pStyle w:val="18"/>
                                <w:jc w:val="left"/>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PAGE   \* MERGEFORMAT</w:instrText>
                              </w:r>
                              <w:r>
                                <w:rPr>
                                  <w:rFonts w:hint="eastAsia" w:ascii="仿宋" w:hAnsi="仿宋" w:eastAsia="仿宋" w:cs="仿宋"/>
                                  <w:sz w:val="28"/>
                                  <w:szCs w:val="28"/>
                                </w:rPr>
                                <w:fldChar w:fldCharType="separate"/>
                              </w:r>
                              <w:r>
                                <w:rPr>
                                  <w:rFonts w:hint="eastAsia" w:ascii="仿宋" w:hAnsi="仿宋" w:eastAsia="仿宋" w:cs="仿宋"/>
                                  <w:sz w:val="28"/>
                                  <w:szCs w:val="28"/>
                                  <w:lang w:val="zh-CN"/>
                                </w:rPr>
                                <w:t>-</w:t>
                              </w:r>
                              <w:r>
                                <w:rPr>
                                  <w:rFonts w:hint="eastAsia" w:ascii="仿宋" w:hAnsi="仿宋" w:eastAsia="仿宋" w:cs="仿宋"/>
                                  <w:sz w:val="28"/>
                                  <w:szCs w:val="28"/>
                                </w:rPr>
                                <w:t xml:space="preserve"> 1 -</w:t>
                              </w:r>
                              <w:r>
                                <w:rPr>
                                  <w:rFonts w:hint="eastAsia" w:ascii="仿宋" w:hAnsi="仿宋" w:eastAsia="仿宋" w:cs="仿宋"/>
                                  <w:sz w:val="28"/>
                                  <w:szCs w:val="28"/>
                                </w:rP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531071120"/>
                      <w:docPartObj>
                        <w:docPartGallery w:val="autotext"/>
                      </w:docPartObj>
                    </w:sdtPr>
                    <w:sdtEndPr>
                      <w:rPr>
                        <w:rFonts w:hint="eastAsia" w:ascii="仿宋" w:hAnsi="仿宋" w:eastAsia="仿宋" w:cs="仿宋"/>
                        <w:sz w:val="28"/>
                        <w:szCs w:val="28"/>
                      </w:rPr>
                    </w:sdtEndPr>
                    <w:sdtContent>
                      <w:p>
                        <w:pPr>
                          <w:pStyle w:val="18"/>
                          <w:jc w:val="left"/>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PAGE   \* MERGEFORMAT</w:instrText>
                        </w:r>
                        <w:r>
                          <w:rPr>
                            <w:rFonts w:hint="eastAsia" w:ascii="仿宋" w:hAnsi="仿宋" w:eastAsia="仿宋" w:cs="仿宋"/>
                            <w:sz w:val="28"/>
                            <w:szCs w:val="28"/>
                          </w:rPr>
                          <w:fldChar w:fldCharType="separate"/>
                        </w:r>
                        <w:r>
                          <w:rPr>
                            <w:rFonts w:hint="eastAsia" w:ascii="仿宋" w:hAnsi="仿宋" w:eastAsia="仿宋" w:cs="仿宋"/>
                            <w:sz w:val="28"/>
                            <w:szCs w:val="28"/>
                            <w:lang w:val="zh-CN"/>
                          </w:rPr>
                          <w:t>-</w:t>
                        </w:r>
                        <w:r>
                          <w:rPr>
                            <w:rFonts w:hint="eastAsia" w:ascii="仿宋" w:hAnsi="仿宋" w:eastAsia="仿宋" w:cs="仿宋"/>
                            <w:sz w:val="28"/>
                            <w:szCs w:val="28"/>
                          </w:rPr>
                          <w:t xml:space="preserve"> 1 -</w:t>
                        </w:r>
                        <w:r>
                          <w:rPr>
                            <w:rFonts w:hint="eastAsia" w:ascii="仿宋" w:hAnsi="仿宋" w:eastAsia="仿宋" w:cs="仿宋"/>
                            <w:sz w:val="28"/>
                            <w:szCs w:val="28"/>
                          </w:rPr>
                          <w:fldChar w:fldCharType="end"/>
                        </w:r>
                      </w:p>
                    </w:sdtContent>
                  </w:sdt>
                  <w:p>
                    <w:pPr>
                      <w:pStyle w:val="2"/>
                    </w:pPr>
                  </w:p>
                </w:txbxContent>
              </v:textbox>
            </v:shape>
          </w:pict>
        </mc:Fallback>
      </mc:AlternateContent>
    </w:r>
  </w:p>
  <w:p>
    <w:pPr>
      <w:pStyle w:val="1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U4ZWRjYmMwZjhlNjcxNDUwNDYyNWNiNTcyZjY3OTQifQ=="/>
  </w:docVars>
  <w:rsids>
    <w:rsidRoot w:val="10F07257"/>
    <w:rsid w:val="000301C7"/>
    <w:rsid w:val="00035EEB"/>
    <w:rsid w:val="00055E0E"/>
    <w:rsid w:val="0008182A"/>
    <w:rsid w:val="000B5553"/>
    <w:rsid w:val="001265C8"/>
    <w:rsid w:val="00142238"/>
    <w:rsid w:val="0018081C"/>
    <w:rsid w:val="001A25D1"/>
    <w:rsid w:val="001F3907"/>
    <w:rsid w:val="002102A3"/>
    <w:rsid w:val="00211CB6"/>
    <w:rsid w:val="00212C5E"/>
    <w:rsid w:val="002467AE"/>
    <w:rsid w:val="00254D8A"/>
    <w:rsid w:val="002819F5"/>
    <w:rsid w:val="002B23E4"/>
    <w:rsid w:val="002E3723"/>
    <w:rsid w:val="00300C05"/>
    <w:rsid w:val="0031448E"/>
    <w:rsid w:val="00344C52"/>
    <w:rsid w:val="003461F2"/>
    <w:rsid w:val="0035329C"/>
    <w:rsid w:val="0038779B"/>
    <w:rsid w:val="003933CA"/>
    <w:rsid w:val="00393DE1"/>
    <w:rsid w:val="003D24A7"/>
    <w:rsid w:val="003E0675"/>
    <w:rsid w:val="003E104B"/>
    <w:rsid w:val="0040361E"/>
    <w:rsid w:val="004152AD"/>
    <w:rsid w:val="00426ACA"/>
    <w:rsid w:val="00433018"/>
    <w:rsid w:val="00451B2D"/>
    <w:rsid w:val="00473F04"/>
    <w:rsid w:val="0048591E"/>
    <w:rsid w:val="004A0BDB"/>
    <w:rsid w:val="004A5B24"/>
    <w:rsid w:val="004C5505"/>
    <w:rsid w:val="004E1F50"/>
    <w:rsid w:val="004E6ED3"/>
    <w:rsid w:val="004F73E5"/>
    <w:rsid w:val="005049F2"/>
    <w:rsid w:val="005101A9"/>
    <w:rsid w:val="005203CE"/>
    <w:rsid w:val="00532CBD"/>
    <w:rsid w:val="00551405"/>
    <w:rsid w:val="00573DF8"/>
    <w:rsid w:val="005913CF"/>
    <w:rsid w:val="005B6B1D"/>
    <w:rsid w:val="005E6077"/>
    <w:rsid w:val="005E6BA1"/>
    <w:rsid w:val="006201A4"/>
    <w:rsid w:val="006244EC"/>
    <w:rsid w:val="0063068F"/>
    <w:rsid w:val="00684156"/>
    <w:rsid w:val="006A4D16"/>
    <w:rsid w:val="006C065C"/>
    <w:rsid w:val="007441A7"/>
    <w:rsid w:val="007629EE"/>
    <w:rsid w:val="00777802"/>
    <w:rsid w:val="007918A8"/>
    <w:rsid w:val="008001EA"/>
    <w:rsid w:val="0082137B"/>
    <w:rsid w:val="00837C7A"/>
    <w:rsid w:val="00847578"/>
    <w:rsid w:val="00875CA1"/>
    <w:rsid w:val="00883366"/>
    <w:rsid w:val="008A68EB"/>
    <w:rsid w:val="008C5146"/>
    <w:rsid w:val="008D2081"/>
    <w:rsid w:val="009143B9"/>
    <w:rsid w:val="00917C17"/>
    <w:rsid w:val="00971B56"/>
    <w:rsid w:val="009A7BC7"/>
    <w:rsid w:val="009B2F60"/>
    <w:rsid w:val="009B478D"/>
    <w:rsid w:val="009C15C1"/>
    <w:rsid w:val="009C192C"/>
    <w:rsid w:val="009F41C8"/>
    <w:rsid w:val="009F6E65"/>
    <w:rsid w:val="00A064D5"/>
    <w:rsid w:val="00A73E42"/>
    <w:rsid w:val="00AA0242"/>
    <w:rsid w:val="00AB1AC5"/>
    <w:rsid w:val="00AB2529"/>
    <w:rsid w:val="00AB288F"/>
    <w:rsid w:val="00AB6370"/>
    <w:rsid w:val="00AE599C"/>
    <w:rsid w:val="00AF7F7B"/>
    <w:rsid w:val="00B04469"/>
    <w:rsid w:val="00B271A9"/>
    <w:rsid w:val="00B36070"/>
    <w:rsid w:val="00B501C6"/>
    <w:rsid w:val="00B57DAD"/>
    <w:rsid w:val="00B73EEE"/>
    <w:rsid w:val="00B76D62"/>
    <w:rsid w:val="00BA42EA"/>
    <w:rsid w:val="00BB24CA"/>
    <w:rsid w:val="00BC264D"/>
    <w:rsid w:val="00BC62F1"/>
    <w:rsid w:val="00BD248A"/>
    <w:rsid w:val="00BE7675"/>
    <w:rsid w:val="00C00267"/>
    <w:rsid w:val="00C530A8"/>
    <w:rsid w:val="00C571DD"/>
    <w:rsid w:val="00C57228"/>
    <w:rsid w:val="00C812C2"/>
    <w:rsid w:val="00C83370"/>
    <w:rsid w:val="00C9589D"/>
    <w:rsid w:val="00CB31F2"/>
    <w:rsid w:val="00CD5495"/>
    <w:rsid w:val="00CE0AE2"/>
    <w:rsid w:val="00CF6F64"/>
    <w:rsid w:val="00D21A2A"/>
    <w:rsid w:val="00D5649C"/>
    <w:rsid w:val="00D578ED"/>
    <w:rsid w:val="00D629DF"/>
    <w:rsid w:val="00D80281"/>
    <w:rsid w:val="00D81C2A"/>
    <w:rsid w:val="00D879ED"/>
    <w:rsid w:val="00D93C92"/>
    <w:rsid w:val="00DA2BBD"/>
    <w:rsid w:val="00DB06DF"/>
    <w:rsid w:val="00E05930"/>
    <w:rsid w:val="00E152B0"/>
    <w:rsid w:val="00E163C4"/>
    <w:rsid w:val="00E24E2C"/>
    <w:rsid w:val="00E2646D"/>
    <w:rsid w:val="00E76B3B"/>
    <w:rsid w:val="00EB3F89"/>
    <w:rsid w:val="00EB7EB7"/>
    <w:rsid w:val="00EC3A6F"/>
    <w:rsid w:val="00EC6C3B"/>
    <w:rsid w:val="00EF112B"/>
    <w:rsid w:val="00EF2F15"/>
    <w:rsid w:val="00F175C6"/>
    <w:rsid w:val="00F4731D"/>
    <w:rsid w:val="00F639FA"/>
    <w:rsid w:val="00FB50E5"/>
    <w:rsid w:val="00FC0400"/>
    <w:rsid w:val="00FC5A80"/>
    <w:rsid w:val="00FC687D"/>
    <w:rsid w:val="00FD5833"/>
    <w:rsid w:val="00FE0A01"/>
    <w:rsid w:val="02714B77"/>
    <w:rsid w:val="03E6737E"/>
    <w:rsid w:val="04765A9B"/>
    <w:rsid w:val="04C51326"/>
    <w:rsid w:val="05527B8C"/>
    <w:rsid w:val="0560013E"/>
    <w:rsid w:val="07D957A7"/>
    <w:rsid w:val="087D4A68"/>
    <w:rsid w:val="08B32A38"/>
    <w:rsid w:val="0B6D02B9"/>
    <w:rsid w:val="0C0109D6"/>
    <w:rsid w:val="0E4670B5"/>
    <w:rsid w:val="0E9029FF"/>
    <w:rsid w:val="10F07257"/>
    <w:rsid w:val="12101C50"/>
    <w:rsid w:val="13C57CB5"/>
    <w:rsid w:val="148610B9"/>
    <w:rsid w:val="14BB60DE"/>
    <w:rsid w:val="1558353C"/>
    <w:rsid w:val="17896EDE"/>
    <w:rsid w:val="18154982"/>
    <w:rsid w:val="1899BBA3"/>
    <w:rsid w:val="195A6C05"/>
    <w:rsid w:val="1D036FD3"/>
    <w:rsid w:val="1D9850AD"/>
    <w:rsid w:val="1DB74C09"/>
    <w:rsid w:val="1E2732BF"/>
    <w:rsid w:val="1EE78EA8"/>
    <w:rsid w:val="1F8970AC"/>
    <w:rsid w:val="204C2FC9"/>
    <w:rsid w:val="21AB58D2"/>
    <w:rsid w:val="22C7694C"/>
    <w:rsid w:val="23231D96"/>
    <w:rsid w:val="23264B0A"/>
    <w:rsid w:val="23BE199E"/>
    <w:rsid w:val="24044E64"/>
    <w:rsid w:val="27C40A90"/>
    <w:rsid w:val="27D40A78"/>
    <w:rsid w:val="2A022B07"/>
    <w:rsid w:val="2DC80565"/>
    <w:rsid w:val="2E453928"/>
    <w:rsid w:val="2E4A1F09"/>
    <w:rsid w:val="2EC314DF"/>
    <w:rsid w:val="2F1F84C1"/>
    <w:rsid w:val="2FBC5E66"/>
    <w:rsid w:val="30B54863"/>
    <w:rsid w:val="314A4D76"/>
    <w:rsid w:val="32FF058F"/>
    <w:rsid w:val="33FF95EC"/>
    <w:rsid w:val="3409609A"/>
    <w:rsid w:val="35236B0D"/>
    <w:rsid w:val="35CC3100"/>
    <w:rsid w:val="365009E6"/>
    <w:rsid w:val="36931FC8"/>
    <w:rsid w:val="3A6B6AE2"/>
    <w:rsid w:val="3AF258BC"/>
    <w:rsid w:val="3BAD35A1"/>
    <w:rsid w:val="3BE15213"/>
    <w:rsid w:val="3C1F51CF"/>
    <w:rsid w:val="3C951173"/>
    <w:rsid w:val="3E17216F"/>
    <w:rsid w:val="3EA77AC3"/>
    <w:rsid w:val="3EF22775"/>
    <w:rsid w:val="3FD77052"/>
    <w:rsid w:val="3FFBD408"/>
    <w:rsid w:val="40282AF1"/>
    <w:rsid w:val="40B06D2F"/>
    <w:rsid w:val="410517F8"/>
    <w:rsid w:val="44606D4A"/>
    <w:rsid w:val="461521C5"/>
    <w:rsid w:val="46DB1C83"/>
    <w:rsid w:val="47687935"/>
    <w:rsid w:val="47A70BB9"/>
    <w:rsid w:val="489E6FA2"/>
    <w:rsid w:val="4B5F6F8A"/>
    <w:rsid w:val="4BA54AD2"/>
    <w:rsid w:val="4BABCEC8"/>
    <w:rsid w:val="4C101878"/>
    <w:rsid w:val="4D4F0EAB"/>
    <w:rsid w:val="4E5C6E1D"/>
    <w:rsid w:val="4E754565"/>
    <w:rsid w:val="4F515061"/>
    <w:rsid w:val="4F9654FE"/>
    <w:rsid w:val="5018136F"/>
    <w:rsid w:val="502E3BAF"/>
    <w:rsid w:val="51C55F88"/>
    <w:rsid w:val="54606F27"/>
    <w:rsid w:val="547E43A0"/>
    <w:rsid w:val="57867C67"/>
    <w:rsid w:val="59292BED"/>
    <w:rsid w:val="59330D43"/>
    <w:rsid w:val="59E978EB"/>
    <w:rsid w:val="5AD344BE"/>
    <w:rsid w:val="5BFFAEB1"/>
    <w:rsid w:val="5C0D32B1"/>
    <w:rsid w:val="5C3F5C88"/>
    <w:rsid w:val="5C6B281F"/>
    <w:rsid w:val="5CE62698"/>
    <w:rsid w:val="5D6E7274"/>
    <w:rsid w:val="5DEC316C"/>
    <w:rsid w:val="5E0B6F62"/>
    <w:rsid w:val="5E7C24DF"/>
    <w:rsid w:val="5EABB47D"/>
    <w:rsid w:val="5EB02E17"/>
    <w:rsid w:val="5F3E8545"/>
    <w:rsid w:val="5F8D486B"/>
    <w:rsid w:val="5FDBEEC3"/>
    <w:rsid w:val="5FDFA8FC"/>
    <w:rsid w:val="62C65B17"/>
    <w:rsid w:val="636E2941"/>
    <w:rsid w:val="639F01D8"/>
    <w:rsid w:val="64BE18B7"/>
    <w:rsid w:val="65E80EF3"/>
    <w:rsid w:val="65FB8ADA"/>
    <w:rsid w:val="677FEAA4"/>
    <w:rsid w:val="68706833"/>
    <w:rsid w:val="69ED0EAF"/>
    <w:rsid w:val="6ACF745E"/>
    <w:rsid w:val="6B33053A"/>
    <w:rsid w:val="6B7D4766"/>
    <w:rsid w:val="6BF54915"/>
    <w:rsid w:val="6FA5C5A9"/>
    <w:rsid w:val="6FDFD9E5"/>
    <w:rsid w:val="6FF5D229"/>
    <w:rsid w:val="71313241"/>
    <w:rsid w:val="71895888"/>
    <w:rsid w:val="718E3C2E"/>
    <w:rsid w:val="71921E37"/>
    <w:rsid w:val="71A1480F"/>
    <w:rsid w:val="728E2F07"/>
    <w:rsid w:val="73BC4AE7"/>
    <w:rsid w:val="73FF56DA"/>
    <w:rsid w:val="744A4EE4"/>
    <w:rsid w:val="75F9B269"/>
    <w:rsid w:val="76F6DB8C"/>
    <w:rsid w:val="77522D09"/>
    <w:rsid w:val="77773DC7"/>
    <w:rsid w:val="77AEDD5B"/>
    <w:rsid w:val="77B2BE19"/>
    <w:rsid w:val="77FAB2B9"/>
    <w:rsid w:val="79056ACF"/>
    <w:rsid w:val="795B5FC5"/>
    <w:rsid w:val="79FB49AE"/>
    <w:rsid w:val="7CFB3C43"/>
    <w:rsid w:val="7D5B61C9"/>
    <w:rsid w:val="7D772553"/>
    <w:rsid w:val="7D7F7202"/>
    <w:rsid w:val="7DE9A496"/>
    <w:rsid w:val="7DEA7452"/>
    <w:rsid w:val="7EB36BB4"/>
    <w:rsid w:val="7ECB95EA"/>
    <w:rsid w:val="7EEBE57F"/>
    <w:rsid w:val="7EFB5CD8"/>
    <w:rsid w:val="7F5A18FC"/>
    <w:rsid w:val="7F64AFE1"/>
    <w:rsid w:val="7F79C62E"/>
    <w:rsid w:val="7F7F7462"/>
    <w:rsid w:val="7F9FB3AF"/>
    <w:rsid w:val="7FBEAD6C"/>
    <w:rsid w:val="7FFB67FB"/>
    <w:rsid w:val="7FFC222E"/>
    <w:rsid w:val="7FFF59D9"/>
    <w:rsid w:val="7FFF9DDB"/>
    <w:rsid w:val="7FFFB3C6"/>
    <w:rsid w:val="84E40E35"/>
    <w:rsid w:val="8FFFC494"/>
    <w:rsid w:val="95EB4B6F"/>
    <w:rsid w:val="96B916D5"/>
    <w:rsid w:val="97D77752"/>
    <w:rsid w:val="9DDFA575"/>
    <w:rsid w:val="A3F7224D"/>
    <w:rsid w:val="AFFE3754"/>
    <w:rsid w:val="B19F3AA7"/>
    <w:rsid w:val="B5F56F6A"/>
    <w:rsid w:val="BBA58968"/>
    <w:rsid w:val="BCD7CCDF"/>
    <w:rsid w:val="BDE87EAE"/>
    <w:rsid w:val="BDEECA29"/>
    <w:rsid w:val="BF166974"/>
    <w:rsid w:val="BFFE72C2"/>
    <w:rsid w:val="BFFF13DE"/>
    <w:rsid w:val="C63B55EB"/>
    <w:rsid w:val="CBA5C01D"/>
    <w:rsid w:val="CD5ACE72"/>
    <w:rsid w:val="CDFD15CB"/>
    <w:rsid w:val="D61FD826"/>
    <w:rsid w:val="D75FD31E"/>
    <w:rsid w:val="DBE7793D"/>
    <w:rsid w:val="DDD344E1"/>
    <w:rsid w:val="DEE77C91"/>
    <w:rsid w:val="DFBE6F7D"/>
    <w:rsid w:val="DFDD8C17"/>
    <w:rsid w:val="DFF7CD70"/>
    <w:rsid w:val="E7EEB69C"/>
    <w:rsid w:val="EDFFC6DB"/>
    <w:rsid w:val="F09754AC"/>
    <w:rsid w:val="F2EF49C1"/>
    <w:rsid w:val="F55F2F7F"/>
    <w:rsid w:val="F7AF8045"/>
    <w:rsid w:val="F7FB4E57"/>
    <w:rsid w:val="F9FF47B9"/>
    <w:rsid w:val="FAFF3B81"/>
    <w:rsid w:val="FAFFBF24"/>
    <w:rsid w:val="FBDF4A61"/>
    <w:rsid w:val="FC7D557A"/>
    <w:rsid w:val="FC8F69AE"/>
    <w:rsid w:val="FD7D956B"/>
    <w:rsid w:val="FDBF9B9E"/>
    <w:rsid w:val="FDF7431D"/>
    <w:rsid w:val="FE3F5520"/>
    <w:rsid w:val="FE5F632C"/>
    <w:rsid w:val="FF4BAA9D"/>
    <w:rsid w:val="FFAF08F5"/>
    <w:rsid w:val="FFCB50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heme="minorHAnsi" w:hAnsiTheme="minorHAnsi" w:eastAsiaTheme="minorEastAsia" w:cstheme="minorBidi"/>
      <w:sz w:val="24"/>
      <w:szCs w:val="24"/>
      <w:lang w:val="en-US" w:eastAsia="zh-CN" w:bidi="ar-SA"/>
    </w:rPr>
  </w:style>
  <w:style w:type="paragraph" w:styleId="4">
    <w:name w:val="heading 1"/>
    <w:basedOn w:val="1"/>
    <w:next w:val="1"/>
    <w:link w:val="36"/>
    <w:qFormat/>
    <w:uiPriority w:val="9"/>
    <w:pPr>
      <w:keepNext/>
      <w:spacing w:before="240" w:after="60"/>
      <w:outlineLvl w:val="0"/>
    </w:pPr>
    <w:rPr>
      <w:rFonts w:cs="Times New Roman" w:asciiTheme="majorHAnsi" w:hAnsiTheme="majorHAnsi" w:eastAsiaTheme="majorEastAsia"/>
      <w:b/>
      <w:bCs/>
      <w:kern w:val="32"/>
      <w:sz w:val="32"/>
      <w:szCs w:val="32"/>
    </w:rPr>
  </w:style>
  <w:style w:type="paragraph" w:styleId="5">
    <w:name w:val="heading 2"/>
    <w:basedOn w:val="1"/>
    <w:next w:val="1"/>
    <w:link w:val="37"/>
    <w:unhideWhenUsed/>
    <w:qFormat/>
    <w:uiPriority w:val="9"/>
    <w:pPr>
      <w:keepNext/>
      <w:spacing w:before="240" w:after="60"/>
      <w:outlineLvl w:val="1"/>
    </w:pPr>
    <w:rPr>
      <w:rFonts w:cs="Times New Roman" w:asciiTheme="majorHAnsi" w:hAnsiTheme="majorHAnsi" w:eastAsiaTheme="majorEastAsia"/>
      <w:b/>
      <w:bCs/>
      <w:i/>
      <w:iCs/>
      <w:sz w:val="28"/>
      <w:szCs w:val="28"/>
    </w:rPr>
  </w:style>
  <w:style w:type="paragraph" w:styleId="6">
    <w:name w:val="heading 3"/>
    <w:basedOn w:val="1"/>
    <w:next w:val="1"/>
    <w:link w:val="38"/>
    <w:unhideWhenUsed/>
    <w:qFormat/>
    <w:uiPriority w:val="9"/>
    <w:pPr>
      <w:keepNext/>
      <w:spacing w:before="240" w:after="60"/>
      <w:outlineLvl w:val="2"/>
    </w:pPr>
    <w:rPr>
      <w:rFonts w:cs="Times New Roman" w:asciiTheme="majorHAnsi" w:hAnsiTheme="majorHAnsi" w:eastAsiaTheme="majorEastAsia"/>
      <w:b/>
      <w:bCs/>
      <w:sz w:val="26"/>
      <w:szCs w:val="26"/>
    </w:rPr>
  </w:style>
  <w:style w:type="paragraph" w:styleId="7">
    <w:name w:val="heading 4"/>
    <w:basedOn w:val="1"/>
    <w:next w:val="1"/>
    <w:link w:val="39"/>
    <w:unhideWhenUsed/>
    <w:qFormat/>
    <w:uiPriority w:val="9"/>
    <w:pPr>
      <w:keepNext/>
      <w:spacing w:before="240" w:after="60"/>
      <w:outlineLvl w:val="3"/>
    </w:pPr>
    <w:rPr>
      <w:rFonts w:cs="Times New Roman"/>
      <w:b/>
      <w:bCs/>
      <w:sz w:val="28"/>
      <w:szCs w:val="28"/>
    </w:rPr>
  </w:style>
  <w:style w:type="paragraph" w:styleId="8">
    <w:name w:val="heading 5"/>
    <w:basedOn w:val="1"/>
    <w:next w:val="1"/>
    <w:link w:val="40"/>
    <w:unhideWhenUsed/>
    <w:qFormat/>
    <w:uiPriority w:val="9"/>
    <w:pPr>
      <w:spacing w:before="240" w:after="60"/>
      <w:outlineLvl w:val="4"/>
    </w:pPr>
    <w:rPr>
      <w:rFonts w:cs="Times New Roman"/>
      <w:b/>
      <w:bCs/>
      <w:i/>
      <w:iCs/>
      <w:sz w:val="26"/>
      <w:szCs w:val="26"/>
    </w:rPr>
  </w:style>
  <w:style w:type="paragraph" w:styleId="9">
    <w:name w:val="heading 6"/>
    <w:basedOn w:val="1"/>
    <w:next w:val="1"/>
    <w:link w:val="41"/>
    <w:unhideWhenUsed/>
    <w:qFormat/>
    <w:uiPriority w:val="9"/>
    <w:pPr>
      <w:spacing w:before="240" w:after="60"/>
      <w:outlineLvl w:val="5"/>
    </w:pPr>
    <w:rPr>
      <w:rFonts w:cs="Times New Roman"/>
      <w:b/>
      <w:bCs/>
      <w:sz w:val="22"/>
      <w:szCs w:val="22"/>
    </w:rPr>
  </w:style>
  <w:style w:type="paragraph" w:styleId="10">
    <w:name w:val="heading 7"/>
    <w:basedOn w:val="1"/>
    <w:next w:val="1"/>
    <w:link w:val="42"/>
    <w:unhideWhenUsed/>
    <w:qFormat/>
    <w:uiPriority w:val="9"/>
    <w:pPr>
      <w:spacing w:before="240" w:after="60"/>
      <w:outlineLvl w:val="6"/>
    </w:pPr>
    <w:rPr>
      <w:rFonts w:cs="Times New Roman"/>
    </w:rPr>
  </w:style>
  <w:style w:type="paragraph" w:styleId="11">
    <w:name w:val="heading 8"/>
    <w:basedOn w:val="1"/>
    <w:next w:val="1"/>
    <w:link w:val="43"/>
    <w:unhideWhenUsed/>
    <w:qFormat/>
    <w:uiPriority w:val="9"/>
    <w:pPr>
      <w:spacing w:before="240" w:after="60"/>
      <w:outlineLvl w:val="7"/>
    </w:pPr>
    <w:rPr>
      <w:rFonts w:cs="Times New Roman"/>
      <w:i/>
      <w:iCs/>
    </w:rPr>
  </w:style>
  <w:style w:type="paragraph" w:styleId="12">
    <w:name w:val="heading 9"/>
    <w:basedOn w:val="1"/>
    <w:next w:val="1"/>
    <w:link w:val="44"/>
    <w:unhideWhenUsed/>
    <w:qFormat/>
    <w:uiPriority w:val="9"/>
    <w:pPr>
      <w:spacing w:before="240" w:after="60"/>
      <w:outlineLvl w:val="8"/>
    </w:pPr>
    <w:rPr>
      <w:rFonts w:cs="Times New Roman" w:asciiTheme="majorHAnsi" w:hAnsiTheme="majorHAnsi" w:eastAsiaTheme="majorEastAsia"/>
      <w:sz w:val="22"/>
      <w:szCs w:val="22"/>
    </w:rPr>
  </w:style>
  <w:style w:type="character" w:default="1" w:styleId="24">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2">
    <w:name w:val="BodyText1I2"/>
    <w:basedOn w:val="3"/>
    <w:qFormat/>
    <w:uiPriority w:val="0"/>
    <w:pPr>
      <w:ind w:firstLine="420" w:firstLineChars="200"/>
    </w:pPr>
    <w:rPr>
      <w:rFonts w:ascii="Calibri" w:hAnsi="Calibri" w:eastAsia="宋体" w:cs="Times New Roman"/>
    </w:rPr>
  </w:style>
  <w:style w:type="paragraph" w:customStyle="1" w:styleId="3">
    <w:name w:val="BodyTextIndent"/>
    <w:basedOn w:val="1"/>
    <w:qFormat/>
    <w:uiPriority w:val="0"/>
    <w:pPr>
      <w:spacing w:after="120"/>
      <w:ind w:left="420" w:leftChars="200"/>
      <w:jc w:val="both"/>
      <w:textAlignment w:val="baseline"/>
    </w:pPr>
  </w:style>
  <w:style w:type="paragraph" w:styleId="13">
    <w:name w:val="Normal Indent"/>
    <w:basedOn w:val="1"/>
    <w:next w:val="1"/>
    <w:qFormat/>
    <w:uiPriority w:val="0"/>
    <w:pPr>
      <w:ind w:firstLine="964" w:firstLineChars="200"/>
    </w:pPr>
  </w:style>
  <w:style w:type="paragraph" w:styleId="14">
    <w:name w:val="annotation text"/>
    <w:basedOn w:val="1"/>
    <w:qFormat/>
    <w:uiPriority w:val="0"/>
  </w:style>
  <w:style w:type="paragraph" w:styleId="15">
    <w:name w:val="Body Text"/>
    <w:basedOn w:val="1"/>
    <w:link w:val="35"/>
    <w:qFormat/>
    <w:uiPriority w:val="0"/>
    <w:pPr>
      <w:spacing w:after="120"/>
    </w:pPr>
    <w:rPr>
      <w:rFonts w:ascii="Times New Roman" w:hAnsi="Times New Roman" w:eastAsia="宋体" w:cs="Times New Roman"/>
    </w:rPr>
  </w:style>
  <w:style w:type="paragraph" w:styleId="16">
    <w:name w:val="Body Text Indent 2"/>
    <w:basedOn w:val="1"/>
    <w:link w:val="31"/>
    <w:qFormat/>
    <w:uiPriority w:val="0"/>
    <w:pPr>
      <w:ind w:firstLine="750"/>
    </w:pPr>
    <w:rPr>
      <w:rFonts w:ascii="宋体" w:hAnsi="宋体" w:eastAsia="宋体" w:cs="Times New Roman"/>
      <w:sz w:val="32"/>
      <w:szCs w:val="20"/>
    </w:rPr>
  </w:style>
  <w:style w:type="paragraph" w:styleId="17">
    <w:name w:val="Balloon Text"/>
    <w:basedOn w:val="1"/>
    <w:link w:val="58"/>
    <w:qFormat/>
    <w:uiPriority w:val="0"/>
    <w:rPr>
      <w:sz w:val="18"/>
      <w:szCs w:val="18"/>
    </w:rPr>
  </w:style>
  <w:style w:type="paragraph" w:styleId="18">
    <w:name w:val="footer"/>
    <w:basedOn w:val="1"/>
    <w:link w:val="29"/>
    <w:qFormat/>
    <w:uiPriority w:val="99"/>
    <w:pPr>
      <w:tabs>
        <w:tab w:val="center" w:pos="4153"/>
        <w:tab w:val="right" w:pos="8306"/>
      </w:tabs>
      <w:snapToGrid w:val="0"/>
    </w:pPr>
    <w:rPr>
      <w:sz w:val="18"/>
      <w:szCs w:val="18"/>
    </w:rPr>
  </w:style>
  <w:style w:type="paragraph" w:styleId="19">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20">
    <w:name w:val="Subtitle"/>
    <w:basedOn w:val="1"/>
    <w:next w:val="1"/>
    <w:link w:val="46"/>
    <w:qFormat/>
    <w:uiPriority w:val="11"/>
    <w:pPr>
      <w:spacing w:after="60"/>
      <w:jc w:val="center"/>
      <w:outlineLvl w:val="1"/>
    </w:pPr>
    <w:rPr>
      <w:rFonts w:cs="Times New Roman" w:asciiTheme="majorHAnsi" w:hAnsiTheme="majorHAnsi" w:eastAsiaTheme="majorEastAsia"/>
    </w:rPr>
  </w:style>
  <w:style w:type="paragraph" w:styleId="21">
    <w:name w:val="Normal (Web)"/>
    <w:basedOn w:val="1"/>
    <w:qFormat/>
    <w:uiPriority w:val="0"/>
    <w:rPr>
      <w:rFonts w:ascii="Calibri" w:hAnsi="Calibri" w:eastAsia="宋体" w:cs="Times New Roman"/>
      <w:color w:val="FF9900"/>
    </w:rPr>
  </w:style>
  <w:style w:type="paragraph" w:styleId="22">
    <w:name w:val="Title"/>
    <w:basedOn w:val="1"/>
    <w:next w:val="1"/>
    <w:link w:val="45"/>
    <w:qFormat/>
    <w:uiPriority w:val="10"/>
    <w:pPr>
      <w:spacing w:before="240" w:after="60"/>
      <w:jc w:val="center"/>
      <w:outlineLvl w:val="0"/>
    </w:pPr>
    <w:rPr>
      <w:rFonts w:cs="Times New Roman" w:asciiTheme="majorHAnsi" w:hAnsiTheme="majorHAnsi" w:eastAsiaTheme="majorEastAsia"/>
      <w:b/>
      <w:bCs/>
      <w:kern w:val="28"/>
      <w:sz w:val="32"/>
      <w:szCs w:val="32"/>
    </w:rPr>
  </w:style>
  <w:style w:type="character" w:styleId="25">
    <w:name w:val="Strong"/>
    <w:basedOn w:val="24"/>
    <w:qFormat/>
    <w:uiPriority w:val="22"/>
    <w:rPr>
      <w:b/>
      <w:bCs/>
    </w:rPr>
  </w:style>
  <w:style w:type="character" w:styleId="26">
    <w:name w:val="Emphasis"/>
    <w:basedOn w:val="24"/>
    <w:qFormat/>
    <w:uiPriority w:val="20"/>
    <w:rPr>
      <w:rFonts w:asciiTheme="minorHAnsi" w:hAnsiTheme="minorHAnsi"/>
      <w:b/>
      <w:i/>
      <w:iCs/>
    </w:rPr>
  </w:style>
  <w:style w:type="character" w:styleId="27">
    <w:name w:val="annotation reference"/>
    <w:basedOn w:val="24"/>
    <w:qFormat/>
    <w:uiPriority w:val="0"/>
    <w:rPr>
      <w:sz w:val="21"/>
      <w:szCs w:val="21"/>
    </w:rPr>
  </w:style>
  <w:style w:type="character" w:customStyle="1" w:styleId="28">
    <w:name w:val="页眉 Char"/>
    <w:basedOn w:val="24"/>
    <w:link w:val="19"/>
    <w:qFormat/>
    <w:uiPriority w:val="0"/>
    <w:rPr>
      <w:rFonts w:asciiTheme="minorHAnsi" w:hAnsiTheme="minorHAnsi" w:eastAsiaTheme="minorEastAsia" w:cstheme="minorBidi"/>
      <w:kern w:val="2"/>
      <w:sz w:val="18"/>
      <w:szCs w:val="18"/>
    </w:rPr>
  </w:style>
  <w:style w:type="character" w:customStyle="1" w:styleId="29">
    <w:name w:val="页脚 Char"/>
    <w:basedOn w:val="24"/>
    <w:link w:val="18"/>
    <w:qFormat/>
    <w:uiPriority w:val="99"/>
    <w:rPr>
      <w:rFonts w:asciiTheme="minorHAnsi" w:hAnsiTheme="minorHAnsi" w:eastAsiaTheme="minorEastAsia" w:cstheme="minorBidi"/>
      <w:kern w:val="2"/>
      <w:sz w:val="18"/>
      <w:szCs w:val="18"/>
    </w:rPr>
  </w:style>
  <w:style w:type="paragraph" w:customStyle="1" w:styleId="30">
    <w:name w:val="列出段落1"/>
    <w:basedOn w:val="1"/>
    <w:qFormat/>
    <w:uiPriority w:val="34"/>
    <w:pPr>
      <w:ind w:left="720"/>
      <w:contextualSpacing/>
    </w:pPr>
  </w:style>
  <w:style w:type="character" w:customStyle="1" w:styleId="31">
    <w:name w:val="正文文本缩进 2 Char"/>
    <w:basedOn w:val="24"/>
    <w:link w:val="16"/>
    <w:qFormat/>
    <w:uiPriority w:val="0"/>
    <w:rPr>
      <w:rFonts w:ascii="宋体" w:hAnsi="宋体"/>
      <w:kern w:val="2"/>
      <w:sz w:val="32"/>
    </w:rPr>
  </w:style>
  <w:style w:type="character" w:customStyle="1" w:styleId="32">
    <w:name w:val="NormalCharacter"/>
    <w:qFormat/>
    <w:uiPriority w:val="0"/>
    <w:rPr>
      <w:rFonts w:ascii="Calibri" w:hAnsi="Calibri" w:eastAsia="宋体" w:cs="宋体"/>
      <w:kern w:val="2"/>
      <w:sz w:val="21"/>
      <w:szCs w:val="22"/>
      <w:lang w:val="en-US" w:eastAsia="zh-CN" w:bidi="ar-SA"/>
    </w:rPr>
  </w:style>
  <w:style w:type="paragraph" w:customStyle="1" w:styleId="33">
    <w:name w:val="Char Char Char Char"/>
    <w:basedOn w:val="1"/>
    <w:qFormat/>
    <w:uiPriority w:val="0"/>
    <w:rPr>
      <w:rFonts w:ascii="Times New Roman" w:hAnsi="Times New Roman" w:eastAsia="宋体" w:cs="Times New Roman"/>
    </w:rPr>
  </w:style>
  <w:style w:type="paragraph" w:customStyle="1" w:styleId="34">
    <w:name w:val="列出段落2"/>
    <w:basedOn w:val="1"/>
    <w:unhideWhenUsed/>
    <w:qFormat/>
    <w:uiPriority w:val="99"/>
    <w:pPr>
      <w:ind w:firstLine="420" w:firstLineChars="200"/>
    </w:pPr>
    <w:rPr>
      <w:rFonts w:ascii="Calibri" w:hAnsi="Calibri" w:eastAsia="宋体" w:cs="Times New Roman"/>
    </w:rPr>
  </w:style>
  <w:style w:type="character" w:customStyle="1" w:styleId="35">
    <w:name w:val="正文文本 Char"/>
    <w:basedOn w:val="24"/>
    <w:link w:val="15"/>
    <w:qFormat/>
    <w:uiPriority w:val="0"/>
    <w:rPr>
      <w:rFonts w:ascii="Times New Roman" w:hAnsi="Times New Roman"/>
      <w:kern w:val="2"/>
      <w:sz w:val="21"/>
      <w:szCs w:val="24"/>
    </w:rPr>
  </w:style>
  <w:style w:type="character" w:customStyle="1" w:styleId="36">
    <w:name w:val="标题 1 Char"/>
    <w:basedOn w:val="24"/>
    <w:link w:val="4"/>
    <w:qFormat/>
    <w:uiPriority w:val="9"/>
    <w:rPr>
      <w:rFonts w:asciiTheme="majorHAnsi" w:hAnsiTheme="majorHAnsi" w:eastAsiaTheme="majorEastAsia"/>
      <w:b/>
      <w:bCs/>
      <w:kern w:val="32"/>
      <w:sz w:val="32"/>
      <w:szCs w:val="32"/>
    </w:rPr>
  </w:style>
  <w:style w:type="character" w:customStyle="1" w:styleId="37">
    <w:name w:val="标题 2 Char"/>
    <w:basedOn w:val="24"/>
    <w:link w:val="5"/>
    <w:semiHidden/>
    <w:qFormat/>
    <w:uiPriority w:val="9"/>
    <w:rPr>
      <w:rFonts w:asciiTheme="majorHAnsi" w:hAnsiTheme="majorHAnsi" w:eastAsiaTheme="majorEastAsia"/>
      <w:b/>
      <w:bCs/>
      <w:i/>
      <w:iCs/>
      <w:sz w:val="28"/>
      <w:szCs w:val="28"/>
    </w:rPr>
  </w:style>
  <w:style w:type="character" w:customStyle="1" w:styleId="38">
    <w:name w:val="标题 3 Char"/>
    <w:basedOn w:val="24"/>
    <w:link w:val="6"/>
    <w:semiHidden/>
    <w:qFormat/>
    <w:uiPriority w:val="9"/>
    <w:rPr>
      <w:rFonts w:asciiTheme="majorHAnsi" w:hAnsiTheme="majorHAnsi" w:eastAsiaTheme="majorEastAsia"/>
      <w:b/>
      <w:bCs/>
      <w:sz w:val="26"/>
      <w:szCs w:val="26"/>
    </w:rPr>
  </w:style>
  <w:style w:type="character" w:customStyle="1" w:styleId="39">
    <w:name w:val="标题 4 Char"/>
    <w:basedOn w:val="24"/>
    <w:link w:val="7"/>
    <w:semiHidden/>
    <w:qFormat/>
    <w:uiPriority w:val="9"/>
    <w:rPr>
      <w:b/>
      <w:bCs/>
      <w:sz w:val="28"/>
      <w:szCs w:val="28"/>
    </w:rPr>
  </w:style>
  <w:style w:type="character" w:customStyle="1" w:styleId="40">
    <w:name w:val="标题 5 Char"/>
    <w:basedOn w:val="24"/>
    <w:link w:val="8"/>
    <w:semiHidden/>
    <w:qFormat/>
    <w:uiPriority w:val="9"/>
    <w:rPr>
      <w:b/>
      <w:bCs/>
      <w:i/>
      <w:iCs/>
      <w:sz w:val="26"/>
      <w:szCs w:val="26"/>
    </w:rPr>
  </w:style>
  <w:style w:type="character" w:customStyle="1" w:styleId="41">
    <w:name w:val="标题 6 Char"/>
    <w:basedOn w:val="24"/>
    <w:link w:val="9"/>
    <w:semiHidden/>
    <w:qFormat/>
    <w:uiPriority w:val="9"/>
    <w:rPr>
      <w:b/>
      <w:bCs/>
    </w:rPr>
  </w:style>
  <w:style w:type="character" w:customStyle="1" w:styleId="42">
    <w:name w:val="标题 7 Char"/>
    <w:basedOn w:val="24"/>
    <w:link w:val="10"/>
    <w:semiHidden/>
    <w:qFormat/>
    <w:uiPriority w:val="9"/>
    <w:rPr>
      <w:sz w:val="24"/>
      <w:szCs w:val="24"/>
    </w:rPr>
  </w:style>
  <w:style w:type="character" w:customStyle="1" w:styleId="43">
    <w:name w:val="标题 8 Char"/>
    <w:basedOn w:val="24"/>
    <w:link w:val="11"/>
    <w:semiHidden/>
    <w:qFormat/>
    <w:uiPriority w:val="9"/>
    <w:rPr>
      <w:i/>
      <w:iCs/>
      <w:sz w:val="24"/>
      <w:szCs w:val="24"/>
    </w:rPr>
  </w:style>
  <w:style w:type="character" w:customStyle="1" w:styleId="44">
    <w:name w:val="标题 9 Char"/>
    <w:basedOn w:val="24"/>
    <w:link w:val="12"/>
    <w:semiHidden/>
    <w:qFormat/>
    <w:uiPriority w:val="9"/>
    <w:rPr>
      <w:rFonts w:asciiTheme="majorHAnsi" w:hAnsiTheme="majorHAnsi" w:eastAsiaTheme="majorEastAsia"/>
    </w:rPr>
  </w:style>
  <w:style w:type="character" w:customStyle="1" w:styleId="45">
    <w:name w:val="标题 Char"/>
    <w:basedOn w:val="24"/>
    <w:link w:val="22"/>
    <w:qFormat/>
    <w:uiPriority w:val="10"/>
    <w:rPr>
      <w:rFonts w:asciiTheme="majorHAnsi" w:hAnsiTheme="majorHAnsi" w:eastAsiaTheme="majorEastAsia"/>
      <w:b/>
      <w:bCs/>
      <w:kern w:val="28"/>
      <w:sz w:val="32"/>
      <w:szCs w:val="32"/>
    </w:rPr>
  </w:style>
  <w:style w:type="character" w:customStyle="1" w:styleId="46">
    <w:name w:val="副标题 Char"/>
    <w:basedOn w:val="24"/>
    <w:link w:val="20"/>
    <w:qFormat/>
    <w:uiPriority w:val="11"/>
    <w:rPr>
      <w:rFonts w:asciiTheme="majorHAnsi" w:hAnsiTheme="majorHAnsi" w:eastAsiaTheme="majorEastAsia"/>
      <w:sz w:val="24"/>
      <w:szCs w:val="24"/>
    </w:rPr>
  </w:style>
  <w:style w:type="paragraph" w:customStyle="1" w:styleId="47">
    <w:name w:val="无间隔1"/>
    <w:basedOn w:val="1"/>
    <w:qFormat/>
    <w:uiPriority w:val="1"/>
    <w:rPr>
      <w:rFonts w:cs="Times New Roman"/>
      <w:szCs w:val="32"/>
    </w:rPr>
  </w:style>
  <w:style w:type="paragraph" w:customStyle="1" w:styleId="48">
    <w:name w:val="引用1"/>
    <w:basedOn w:val="1"/>
    <w:next w:val="1"/>
    <w:link w:val="49"/>
    <w:qFormat/>
    <w:uiPriority w:val="29"/>
    <w:rPr>
      <w:rFonts w:cs="Times New Roman"/>
      <w:i/>
    </w:rPr>
  </w:style>
  <w:style w:type="character" w:customStyle="1" w:styleId="49">
    <w:name w:val="引用 Char"/>
    <w:basedOn w:val="24"/>
    <w:link w:val="48"/>
    <w:qFormat/>
    <w:uiPriority w:val="29"/>
    <w:rPr>
      <w:i/>
      <w:sz w:val="24"/>
      <w:szCs w:val="24"/>
    </w:rPr>
  </w:style>
  <w:style w:type="paragraph" w:customStyle="1" w:styleId="50">
    <w:name w:val="明显引用1"/>
    <w:basedOn w:val="1"/>
    <w:next w:val="1"/>
    <w:link w:val="51"/>
    <w:qFormat/>
    <w:uiPriority w:val="30"/>
    <w:pPr>
      <w:ind w:left="720" w:right="720"/>
    </w:pPr>
    <w:rPr>
      <w:rFonts w:cs="Times New Roman"/>
      <w:b/>
      <w:i/>
      <w:szCs w:val="22"/>
    </w:rPr>
  </w:style>
  <w:style w:type="character" w:customStyle="1" w:styleId="51">
    <w:name w:val="明显引用 Char"/>
    <w:basedOn w:val="24"/>
    <w:link w:val="50"/>
    <w:qFormat/>
    <w:uiPriority w:val="30"/>
    <w:rPr>
      <w:b/>
      <w:i/>
      <w:sz w:val="24"/>
    </w:rPr>
  </w:style>
  <w:style w:type="character" w:customStyle="1" w:styleId="52">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53">
    <w:name w:val="明显强调1"/>
    <w:basedOn w:val="24"/>
    <w:qFormat/>
    <w:uiPriority w:val="21"/>
    <w:rPr>
      <w:b/>
      <w:i/>
      <w:sz w:val="24"/>
      <w:szCs w:val="24"/>
      <w:u w:val="single"/>
    </w:rPr>
  </w:style>
  <w:style w:type="character" w:customStyle="1" w:styleId="54">
    <w:name w:val="不明显参考1"/>
    <w:basedOn w:val="24"/>
    <w:qFormat/>
    <w:uiPriority w:val="31"/>
    <w:rPr>
      <w:sz w:val="24"/>
      <w:szCs w:val="24"/>
      <w:u w:val="single"/>
    </w:rPr>
  </w:style>
  <w:style w:type="character" w:customStyle="1" w:styleId="55">
    <w:name w:val="明显参考1"/>
    <w:basedOn w:val="24"/>
    <w:qFormat/>
    <w:uiPriority w:val="32"/>
    <w:rPr>
      <w:b/>
      <w:sz w:val="24"/>
      <w:u w:val="single"/>
    </w:rPr>
  </w:style>
  <w:style w:type="character" w:customStyle="1" w:styleId="56">
    <w:name w:val="书籍标题1"/>
    <w:basedOn w:val="24"/>
    <w:qFormat/>
    <w:uiPriority w:val="33"/>
    <w:rPr>
      <w:rFonts w:asciiTheme="majorHAnsi" w:hAnsiTheme="majorHAnsi" w:eastAsiaTheme="majorEastAsia"/>
      <w:b/>
      <w:i/>
      <w:sz w:val="24"/>
      <w:szCs w:val="24"/>
    </w:rPr>
  </w:style>
  <w:style w:type="paragraph" w:customStyle="1" w:styleId="57">
    <w:name w:val="TOC 标题1"/>
    <w:basedOn w:val="4"/>
    <w:next w:val="1"/>
    <w:unhideWhenUsed/>
    <w:qFormat/>
    <w:uiPriority w:val="39"/>
    <w:pPr>
      <w:outlineLvl w:val="9"/>
    </w:pPr>
  </w:style>
  <w:style w:type="character" w:customStyle="1" w:styleId="58">
    <w:name w:val="批注框文本 Char"/>
    <w:basedOn w:val="24"/>
    <w:link w:val="17"/>
    <w:qFormat/>
    <w:uiPriority w:val="0"/>
    <w:rPr>
      <w:rFonts w:cstheme="minorBid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chart" Target="charts/chart9.xml"/><Relationship Id="rId12" Type="http://schemas.openxmlformats.org/officeDocument/2006/relationships/chart" Target="charts/chart8.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home/lenovo/&#26700;&#38754;/2022&#24180;&#32479;&#35745;&#20844;&#25253;&#25910;&#38598;/&#32479;&#35745;&#23616;/2021&#24180;&#32479;&#35745;&#20844;&#25253;&#22270;&#34920;&#38598;&#24635;(1)%20(&#22797;&#2021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ome/lenovo/&#26700;&#38754;/2022&#24180;&#32479;&#35745;&#20844;&#25253;&#25910;&#38598;/&#32479;&#35745;&#23616;/2021&#24180;&#32479;&#35745;&#20844;&#25253;&#22270;&#34920;&#38598;&#24635;(1)%20(&#22797;&#2021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home/lenovo/&#26700;&#38754;/2022&#24180;&#32479;&#35745;&#20844;&#25253;&#25910;&#38598;/&#32479;&#35745;&#23616;/2021&#24180;&#32479;&#35745;&#20844;&#25253;&#22270;&#34920;&#38598;&#24635;(1)%20(&#22797;&#2021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ome/lenovo/&#26700;&#38754;/2022&#24180;&#32479;&#35745;&#20844;&#25253;&#25910;&#38598;/&#32479;&#35745;&#23616;/2021&#24180;&#32479;&#35745;&#20844;&#25253;&#22270;&#34920;&#38598;&#24635;(1)%20(&#22797;&#20214;).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home/lenovo/&#26700;&#38754;/2022&#24180;&#32479;&#35745;&#20844;&#25253;&#25910;&#38598;/&#32479;&#35745;&#23616;/2021&#24180;&#32479;&#35745;&#20844;&#25253;&#22270;&#34920;&#38598;&#24635;(1)%20(&#22797;&#20214;).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home/lenovo/&#26700;&#38754;/2022&#24180;&#32479;&#35745;&#20844;&#25253;&#25910;&#38598;/&#32479;&#35745;&#23616;/2021&#24180;&#32479;&#35745;&#20844;&#25253;&#22270;&#34920;&#38598;&#24635;(1)%20(&#22797;&#20214;).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home/lenovo/&#26700;&#38754;/2022&#24180;&#32479;&#35745;&#20844;&#25253;&#25910;&#38598;/&#32479;&#35745;&#23616;/2021&#24180;&#32479;&#35745;&#20844;&#25253;&#22270;&#34920;&#38598;&#24635;(1)%20(&#22797;&#20214;).xlsx" TargetMode="External"/></Relationships>
</file>

<file path=word/charts/_rels/chart8.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home/lenovo/&#26700;&#38754;/2022&#24180;&#32479;&#35745;&#20844;&#25253;&#25910;&#38598;/&#32479;&#35745;&#23616;/2021&#24180;&#32479;&#35745;&#20844;&#25253;&#22270;&#34920;&#38598;&#24635;(1)%20(&#22797;&#20214;).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data/2021&#24180;&#24037;&#20316;/2020&#24180;&#32479;&#35745;&#20844;&#25253;/2020&#24180;&#32479;&#35745;&#20844;&#25253;&#22270;&#34920;&#38598;&#2463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200" b="0" i="0" u="none" strike="noStrike" kern="1200" spc="0" baseline="0">
                <a:solidFill>
                  <a:schemeClr val="tx1">
                    <a:lumMod val="65000"/>
                    <a:lumOff val="35000"/>
                  </a:schemeClr>
                </a:solidFill>
                <a:latin typeface="+mn-lt"/>
                <a:ea typeface="+mn-ea"/>
                <a:cs typeface="+mn-cs"/>
              </a:defRPr>
            </a:pPr>
            <a:r>
              <a:rPr altLang="en-US" sz="1200" b="1">
                <a:latin typeface="+mj-ea"/>
                <a:ea typeface="+mj-ea"/>
                <a:cs typeface="+mj-ea"/>
              </a:rPr>
              <a:t>图</a:t>
            </a:r>
            <a:r>
              <a:rPr lang="en-US" altLang="zh-CN" sz="1200" b="1">
                <a:latin typeface="+mj-ea"/>
                <a:ea typeface="+mj-ea"/>
                <a:cs typeface="+mj-ea"/>
              </a:rPr>
              <a:t>1  2016-2021</a:t>
            </a:r>
            <a:r>
              <a:rPr altLang="en-US" sz="1200" b="1">
                <a:latin typeface="+mj-ea"/>
                <a:ea typeface="+mj-ea"/>
                <a:cs typeface="+mj-ea"/>
              </a:rPr>
              <a:t>年地区生产总值增长速度</a:t>
            </a:r>
            <a:endParaRPr altLang="en-US" sz="1200" b="1">
              <a:latin typeface="+mj-ea"/>
              <a:ea typeface="+mj-ea"/>
              <a:cs typeface="+mj-ea"/>
            </a:endParaRPr>
          </a:p>
        </c:rich>
      </c:tx>
      <c:layout>
        <c:manualLayout>
          <c:xMode val="edge"/>
          <c:yMode val="edge"/>
          <c:x val="0.225555555555556"/>
          <c:y val="0.00664599025254763"/>
        </c:manualLayout>
      </c:layout>
      <c:overlay val="0"/>
      <c:spPr>
        <a:noFill/>
        <a:ln>
          <a:noFill/>
        </a:ln>
        <a:effectLst/>
      </c:spPr>
    </c:title>
    <c:autoTitleDeleted val="0"/>
    <c:plotArea>
      <c:layout>
        <c:manualLayout>
          <c:layoutTarget val="inner"/>
          <c:xMode val="edge"/>
          <c:yMode val="edge"/>
          <c:x val="0.0698055555555556"/>
          <c:y val="0.205513950073421"/>
          <c:w val="0.901027777777778"/>
          <c:h val="0.711666666666667"/>
        </c:manualLayout>
      </c:layout>
      <c:lineChart>
        <c:grouping val="standard"/>
        <c:varyColors val="0"/>
        <c:ser>
          <c:idx val="0"/>
          <c:order val="0"/>
          <c:tx>
            <c:strRef>
              <c:f>'[2021年统计公报图表集总(1) (复件).xlsx]gdp增速'!$B$2</c:f>
              <c:strCache>
                <c:ptCount val="1"/>
                <c:pt idx="0">
                  <c:v>比上年增长</c:v>
                </c:pt>
              </c:strCache>
            </c:strRef>
          </c:tx>
          <c:spPr>
            <a:ln w="28575" cap="rnd">
              <a:solidFill>
                <a:schemeClr val="accent1"/>
              </a:solidFill>
              <a:round/>
            </a:ln>
            <a:effectLst/>
          </c:spPr>
          <c:marker>
            <c:symbol val="circle"/>
            <c:size val="5"/>
            <c:spPr>
              <a:solidFill>
                <a:sysClr val="window" lastClr="FFFFFF"/>
              </a:solidFill>
              <a:ln w="9525">
                <a:solidFill>
                  <a:schemeClr val="accent1"/>
                </a:solidFill>
              </a:ln>
              <a:effectLst/>
            </c:spPr>
          </c:marker>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'[2021年统计公报图表集总(1) (复件).xlsx]gdp增速'!$A$3:$A$8</c:f>
              <c:strCache>
                <c:ptCount val="6"/>
                <c:pt idx="0">
                  <c:v>2016年</c:v>
                </c:pt>
                <c:pt idx="1">
                  <c:v>2017年</c:v>
                </c:pt>
                <c:pt idx="2">
                  <c:v>2018年</c:v>
                </c:pt>
                <c:pt idx="3">
                  <c:v>2019年</c:v>
                </c:pt>
                <c:pt idx="4">
                  <c:v>2020年</c:v>
                </c:pt>
                <c:pt idx="5">
                  <c:v>2021年</c:v>
                </c:pt>
              </c:strCache>
            </c:strRef>
          </c:cat>
          <c:val>
            <c:numRef>
              <c:f>'[2021年统计公报图表集总(1) (复件).xlsx]gdp增速'!$B$3:$B$8</c:f>
              <c:numCache>
                <c:formatCode>0.0_ </c:formatCode>
                <c:ptCount val="6"/>
                <c:pt idx="0">
                  <c:v>7.7</c:v>
                </c:pt>
                <c:pt idx="1">
                  <c:v>7.5</c:v>
                </c:pt>
                <c:pt idx="2">
                  <c:v>7.6</c:v>
                </c:pt>
                <c:pt idx="3">
                  <c:v>7.5</c:v>
                </c:pt>
                <c:pt idx="4">
                  <c:v>5.3</c:v>
                </c:pt>
                <c:pt idx="5">
                  <c:v>11.3</c:v>
                </c:pt>
              </c:numCache>
            </c:numRef>
          </c:val>
          <c:smooth val="0"/>
        </c:ser>
        <c:dLbls>
          <c:showLegendKey val="0"/>
          <c:showVal val="0"/>
          <c:showCatName val="0"/>
          <c:showSerName val="0"/>
          <c:showPercent val="0"/>
          <c:showBubbleSize val="0"/>
        </c:dLbls>
        <c:marker val="1"/>
        <c:smooth val="0"/>
        <c:axId val="885535092"/>
        <c:axId val="195606131"/>
      </c:lineChart>
      <c:catAx>
        <c:axId val="88553509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95606131"/>
        <c:crosses val="autoZero"/>
        <c:auto val="1"/>
        <c:lblAlgn val="ctr"/>
        <c:lblOffset val="100"/>
        <c:noMultiLvlLbl val="0"/>
      </c:catAx>
      <c:valAx>
        <c:axId val="195606131"/>
        <c:scaling>
          <c:orientation val="minMax"/>
          <c:max val="20"/>
        </c:scaling>
        <c:delete val="0"/>
        <c:axPos val="l"/>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t>%</a:t>
                </a:r>
              </a:p>
            </c:rich>
          </c:tx>
          <c:layout>
            <c:manualLayout>
              <c:xMode val="edge"/>
              <c:yMode val="edge"/>
              <c:x val="0.0313492063492063"/>
              <c:y val="0.106905916729705"/>
            </c:manualLayout>
          </c:layout>
          <c:overlay val="0"/>
          <c:spPr>
            <a:noFill/>
            <a:ln>
              <a:noFill/>
            </a:ln>
            <a:effectLst/>
          </c:spPr>
        </c:title>
        <c:numFmt formatCode="General"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85535092"/>
        <c:crosses val="autoZero"/>
        <c:crossBetween val="between"/>
        <c:majorUnit val="5"/>
      </c:valAx>
      <c:spPr>
        <a:noFill/>
        <a:ln>
          <a:noFill/>
        </a:ln>
        <a:effectLst/>
      </c:spPr>
    </c:plotArea>
    <c:legend>
      <c:legendPos val="t"/>
      <c:layout>
        <c:manualLayout>
          <c:xMode val="edge"/>
          <c:yMode val="edge"/>
          <c:x val="0.393363095238095"/>
          <c:y val="0.088273407042815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zh-CN" sz="14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rPr lang="zh-CN" altLang="zh-CN" sz="1200"/>
              <a:t>图</a:t>
            </a:r>
            <a:r>
              <a:rPr lang="en-US" altLang="zh-CN" sz="1200"/>
              <a:t>2   2016-2021</a:t>
            </a:r>
            <a:r>
              <a:rPr lang="zh-CN" altLang="zh-CN" sz="1200"/>
              <a:t>年度地方一般公共预算收入及其增长速度</a:t>
            </a:r>
            <a:endParaRPr lang="zh-CN" altLang="zh-CN" sz="1200"/>
          </a:p>
        </c:rich>
      </c:tx>
      <c:layout/>
      <c:overlay val="0"/>
      <c:spPr>
        <a:noFill/>
        <a:ln>
          <a:noFill/>
        </a:ln>
      </c:spPr>
    </c:title>
    <c:autoTitleDeleted val="0"/>
    <c:plotArea>
      <c:layout>
        <c:manualLayout>
          <c:layoutTarget val="inner"/>
          <c:xMode val="edge"/>
          <c:yMode val="edge"/>
          <c:x val="0.105891181988743"/>
          <c:y val="0.197743861977439"/>
          <c:w val="0.81661038148843"/>
          <c:h val="0.697312541473125"/>
        </c:manualLayout>
      </c:layout>
      <c:barChart>
        <c:barDir val="col"/>
        <c:grouping val="clustered"/>
        <c:varyColors val="0"/>
        <c:ser>
          <c:idx val="0"/>
          <c:order val="0"/>
          <c:tx>
            <c:strRef>
              <c:f>'[2021年统计公报图表集总(1) (复件).xlsx]财政总收入及其增长速度'!$B$1</c:f>
              <c:strCache>
                <c:ptCount val="1"/>
                <c:pt idx="0">
                  <c:v>地方一般公共预算收入</c:v>
                </c:pt>
              </c:strCache>
            </c:strRef>
          </c:tx>
          <c:spPr>
            <a:solidFill>
              <a:srgbClr val="4F81BD"/>
            </a:solidFill>
            <a:ln>
              <a:noFill/>
            </a:ln>
          </c:spPr>
          <c:invertIfNegative val="0"/>
          <c:dPt>
            <c:idx val="0"/>
            <c:invertIfNegative val="0"/>
            <c:bubble3D val="0"/>
            <c:spPr>
              <a:solidFill>
                <a:srgbClr val="4F81BD"/>
              </a:solidFill>
              <a:ln>
                <a:noFill/>
              </a:ln>
            </c:spPr>
          </c:dPt>
          <c:dPt>
            <c:idx val="1"/>
            <c:invertIfNegative val="0"/>
            <c:bubble3D val="0"/>
            <c:spPr>
              <a:solidFill>
                <a:srgbClr val="4F81BD"/>
              </a:solidFill>
              <a:ln>
                <a:noFill/>
              </a:ln>
            </c:spPr>
          </c:dPt>
          <c:dPt>
            <c:idx val="2"/>
            <c:invertIfNegative val="0"/>
            <c:bubble3D val="0"/>
            <c:spPr>
              <a:solidFill>
                <a:srgbClr val="4F81BD"/>
              </a:solidFill>
              <a:ln>
                <a:noFill/>
              </a:ln>
            </c:spPr>
          </c:dPt>
          <c:dPt>
            <c:idx val="3"/>
            <c:invertIfNegative val="0"/>
            <c:bubble3D val="0"/>
            <c:spPr>
              <a:solidFill>
                <a:srgbClr val="4F81BD"/>
              </a:solidFill>
              <a:ln>
                <a:noFill/>
              </a:ln>
            </c:spPr>
          </c:dPt>
          <c:dPt>
            <c:idx val="4"/>
            <c:invertIfNegative val="0"/>
            <c:bubble3D val="0"/>
            <c:spPr>
              <a:solidFill>
                <a:srgbClr val="4F81BD"/>
              </a:solidFill>
              <a:ln>
                <a:noFill/>
              </a:ln>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2"/>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3"/>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4"/>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'[2021年统计公报图表集总(1) (复件).xlsx]财政总收入及其增长速度'!$A$2:$A$7</c:f>
              <c:strCache>
                <c:ptCount val="6"/>
                <c:pt idx="0">
                  <c:v>2016年</c:v>
                </c:pt>
                <c:pt idx="1">
                  <c:v>2017年</c:v>
                </c:pt>
                <c:pt idx="2">
                  <c:v>2018年</c:v>
                </c:pt>
                <c:pt idx="3">
                  <c:v>2019年</c:v>
                </c:pt>
                <c:pt idx="4">
                  <c:v>2020年</c:v>
                </c:pt>
                <c:pt idx="5">
                  <c:v>2021年</c:v>
                </c:pt>
              </c:strCache>
            </c:strRef>
          </c:cat>
          <c:val>
            <c:numRef>
              <c:f>'[2021年统计公报图表集总(1) (复件).xlsx]财政总收入及其增长速度'!$B$2:$B$7</c:f>
              <c:numCache>
                <c:formatCode>0.00_ </c:formatCode>
                <c:ptCount val="6"/>
                <c:pt idx="0">
                  <c:v>115.5064</c:v>
                </c:pt>
                <c:pt idx="1">
                  <c:v>125.3645</c:v>
                </c:pt>
                <c:pt idx="2">
                  <c:v>169.8793</c:v>
                </c:pt>
                <c:pt idx="3">
                  <c:v>185.3425</c:v>
                </c:pt>
                <c:pt idx="4">
                  <c:v>186.1</c:v>
                </c:pt>
                <c:pt idx="5">
                  <c:v>208.3</c:v>
                </c:pt>
              </c:numCache>
            </c:numRef>
          </c:val>
        </c:ser>
        <c:dLbls>
          <c:showLegendKey val="0"/>
          <c:showVal val="0"/>
          <c:showCatName val="0"/>
          <c:showSerName val="0"/>
          <c:showPercent val="0"/>
          <c:showBubbleSize val="0"/>
        </c:dLbls>
        <c:gapWidth val="219"/>
        <c:overlap val="-27"/>
        <c:axId val="0"/>
        <c:axId val="1"/>
      </c:barChart>
      <c:lineChart>
        <c:grouping val="standard"/>
        <c:varyColors val="0"/>
        <c:ser>
          <c:idx val="1"/>
          <c:order val="1"/>
          <c:tx>
            <c:strRef>
              <c:f>'[2021年统计公报图表集总(1) (复件).xlsx]财政总收入及其增长速度'!$C$1</c:f>
              <c:strCache>
                <c:ptCount val="1"/>
                <c:pt idx="0">
                  <c:v>增速</c:v>
                </c:pt>
              </c:strCache>
            </c:strRef>
          </c:tx>
          <c:spPr>
            <a:ln w="25400" cap="rnd" cmpd="sng" algn="ctr">
              <a:solidFill>
                <a:srgbClr val="C0504D"/>
              </a:solidFill>
              <a:prstDash val="solid"/>
              <a:round/>
            </a:ln>
          </c:spPr>
          <c:marker>
            <c:symbol val="circle"/>
            <c:size val="5"/>
            <c:spPr>
              <a:solidFill>
                <a:srgbClr val="FFFFFF"/>
              </a:solidFill>
              <a:ln w="9525" cap="flat" cmpd="sng" algn="ctr">
                <a:solidFill>
                  <a:srgbClr val="C0504D"/>
                </a:solidFill>
                <a:prstDash val="solid"/>
                <a:round/>
              </a:ln>
            </c:spPr>
          </c:marker>
          <c:dPt>
            <c:idx val="0"/>
            <c:marker>
              <c:symbol val="circle"/>
              <c:size val="5"/>
              <c:spPr>
                <a:solidFill>
                  <a:srgbClr val="FFFFFF"/>
                </a:solidFill>
                <a:ln w="9525" cap="flat" cmpd="sng" algn="ctr">
                  <a:solidFill>
                    <a:srgbClr val="C0504D"/>
                  </a:solidFill>
                  <a:prstDash val="solid"/>
                  <a:round/>
                </a:ln>
              </c:spPr>
            </c:marker>
            <c:bubble3D val="0"/>
            <c:spPr>
              <a:ln w="25400" cap="rnd" cmpd="sng" algn="ctr">
                <a:solidFill>
                  <a:srgbClr val="C0504D"/>
                </a:solidFill>
                <a:prstDash val="solid"/>
                <a:round/>
              </a:ln>
            </c:spPr>
          </c:dPt>
          <c:dPt>
            <c:idx val="1"/>
            <c:marker>
              <c:symbol val="circle"/>
              <c:size val="5"/>
              <c:spPr>
                <a:solidFill>
                  <a:srgbClr val="FFFFFF"/>
                </a:solidFill>
                <a:ln w="9525" cap="flat" cmpd="sng" algn="ctr">
                  <a:solidFill>
                    <a:srgbClr val="C0504D"/>
                  </a:solidFill>
                  <a:prstDash val="solid"/>
                  <a:round/>
                </a:ln>
              </c:spPr>
            </c:marker>
            <c:bubble3D val="0"/>
            <c:spPr>
              <a:ln w="25400" cap="rnd" cmpd="sng" algn="ctr">
                <a:solidFill>
                  <a:srgbClr val="C0504D"/>
                </a:solidFill>
                <a:prstDash val="solid"/>
                <a:round/>
              </a:ln>
            </c:spPr>
          </c:dPt>
          <c:dPt>
            <c:idx val="2"/>
            <c:marker>
              <c:symbol val="circle"/>
              <c:size val="5"/>
              <c:spPr>
                <a:solidFill>
                  <a:srgbClr val="FFFFFF"/>
                </a:solidFill>
                <a:ln w="9525" cap="flat" cmpd="sng" algn="ctr">
                  <a:solidFill>
                    <a:srgbClr val="C0504D"/>
                  </a:solidFill>
                  <a:prstDash val="solid"/>
                  <a:round/>
                </a:ln>
              </c:spPr>
            </c:marker>
            <c:bubble3D val="0"/>
            <c:spPr>
              <a:ln w="25400" cap="rnd" cmpd="sng" algn="ctr">
                <a:solidFill>
                  <a:srgbClr val="C0504D"/>
                </a:solidFill>
                <a:prstDash val="solid"/>
                <a:round/>
              </a:ln>
            </c:spPr>
          </c:dPt>
          <c:dPt>
            <c:idx val="3"/>
            <c:marker>
              <c:symbol val="circle"/>
              <c:size val="5"/>
              <c:spPr>
                <a:solidFill>
                  <a:srgbClr val="FFFFFF"/>
                </a:solidFill>
                <a:ln w="9525" cap="flat" cmpd="sng" algn="ctr">
                  <a:solidFill>
                    <a:srgbClr val="C0504D"/>
                  </a:solidFill>
                  <a:prstDash val="solid"/>
                  <a:round/>
                </a:ln>
              </c:spPr>
            </c:marker>
            <c:bubble3D val="0"/>
            <c:spPr>
              <a:ln w="25400" cap="rnd" cmpd="sng" algn="ctr">
                <a:solidFill>
                  <a:srgbClr val="C0504D"/>
                </a:solidFill>
                <a:prstDash val="solid"/>
                <a:round/>
              </a:ln>
            </c:spPr>
          </c:dPt>
          <c:dPt>
            <c:idx val="4"/>
            <c:marker>
              <c:symbol val="circle"/>
              <c:size val="5"/>
              <c:spPr>
                <a:solidFill>
                  <a:srgbClr val="FFFFFF"/>
                </a:solidFill>
                <a:ln w="9525" cap="flat" cmpd="sng" algn="ctr">
                  <a:solidFill>
                    <a:srgbClr val="C0504D"/>
                  </a:solidFill>
                  <a:prstDash val="solid"/>
                  <a:round/>
                </a:ln>
              </c:spPr>
            </c:marker>
            <c:bubble3D val="0"/>
            <c:spPr>
              <a:ln w="25400" cap="rnd" cmpd="sng" algn="ctr">
                <a:solidFill>
                  <a:srgbClr val="C0504D"/>
                </a:solidFill>
                <a:prstDash val="solid"/>
                <a:round/>
              </a:ln>
            </c:spPr>
          </c:dPt>
          <c:dLbls>
            <c:dLbl>
              <c:idx val="0"/>
              <c:layout>
                <c:manualLayout>
                  <c:x val="-0.00811359026369168"/>
                  <c:y val="0.0188205771643664"/>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21703853955375"/>
                  <c:y val="0.0161319232837426"/>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202839756592292"/>
                  <c:y val="0.0268865388062377"/>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r"/>
              <c:showLegendKey val="0"/>
              <c:showVal val="1"/>
              <c:showCatName val="0"/>
              <c:showSerName val="0"/>
              <c:showPercent val="0"/>
              <c:showBubbleSize val="0"/>
              <c:extLst>
                <c:ext xmlns:c15="http://schemas.microsoft.com/office/drawing/2012/chart" uri="{CE6537A1-D6FC-4f65-9D91-7224C49458BB}"/>
              </c:extLst>
            </c:dLbl>
            <c:dLbl>
              <c:idx val="4"/>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'[2021年统计公报图表集总(1) (复件).xlsx]财政总收入及其增长速度'!$A$2:$A$7</c:f>
              <c:strCache>
                <c:ptCount val="6"/>
                <c:pt idx="0">
                  <c:v>2016年</c:v>
                </c:pt>
                <c:pt idx="1">
                  <c:v>2017年</c:v>
                </c:pt>
                <c:pt idx="2">
                  <c:v>2018年</c:v>
                </c:pt>
                <c:pt idx="3">
                  <c:v>2019年</c:v>
                </c:pt>
                <c:pt idx="4">
                  <c:v>2020年</c:v>
                </c:pt>
                <c:pt idx="5">
                  <c:v>2021年</c:v>
                </c:pt>
              </c:strCache>
            </c:strRef>
          </c:cat>
          <c:val>
            <c:numRef>
              <c:f>'[2021年统计公报图表集总(1) (复件).xlsx]财政总收入及其增长速度'!$C$2:$C$7</c:f>
              <c:numCache>
                <c:formatCode>General</c:formatCode>
                <c:ptCount val="6"/>
                <c:pt idx="0">
                  <c:v>11.2</c:v>
                </c:pt>
                <c:pt idx="1">
                  <c:v>12.8</c:v>
                </c:pt>
                <c:pt idx="2" c:formatCode="0.0_ ">
                  <c:v>13.9</c:v>
                </c:pt>
                <c:pt idx="3" c:formatCode="0.0_ ">
                  <c:v>9.1</c:v>
                </c:pt>
                <c:pt idx="4">
                  <c:v>0.4</c:v>
                </c:pt>
                <c:pt idx="5" c:formatCode="0.0_ ">
                  <c:v>12</c:v>
                </c:pt>
              </c:numCache>
            </c:numRef>
          </c:val>
          <c:smooth val="0"/>
        </c:ser>
        <c:dLbls>
          <c:showLegendKey val="0"/>
          <c:showVal val="0"/>
          <c:showCatName val="0"/>
          <c:showSerName val="0"/>
          <c:showPercent val="0"/>
          <c:showBubbleSize val="0"/>
        </c:dLbls>
        <c:marker val="1"/>
        <c:smooth val="0"/>
        <c:axId val="2"/>
        <c:axId val="3"/>
      </c:lineChart>
      <c:catAx>
        <c:axId val="0"/>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t>亿元</a:t>
                </a:r>
              </a:p>
            </c:rich>
          </c:tx>
          <c:layout>
            <c:manualLayout>
              <c:xMode val="edge"/>
              <c:yMode val="edge"/>
              <c:x val="0.0416116283588332"/>
              <c:y val="0.109155237922617"/>
            </c:manualLayout>
          </c:layout>
          <c:overlay val="0"/>
        </c:title>
        <c:majorTickMark val="none"/>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1"/>
        <c:crosses val="autoZero"/>
        <c:auto val="0"/>
        <c:lblAlgn val="ctr"/>
        <c:lblOffset val="100"/>
        <c:tickLblSkip val="1"/>
        <c:noMultiLvlLbl val="0"/>
      </c:catAx>
      <c:valAx>
        <c:axId val="1"/>
        <c:scaling>
          <c:orientation val="minMax"/>
        </c:scaling>
        <c:delete val="0"/>
        <c:axPos val="l"/>
        <c:majorGridlines>
          <c:spPr>
            <a:ln w="15875" cap="flat" cmpd="sng" algn="ctr">
              <a:solidFill>
                <a:schemeClr val="bg1">
                  <a:lumMod val="95000"/>
                </a:schemeClr>
              </a:solidFill>
              <a:prstDash val="solid"/>
              <a:round/>
            </a:ln>
          </c:spPr>
        </c:majorGridlines>
        <c:numFmt formatCode="0_);[Red]\(0\)" sourceLinked="0"/>
        <c:majorTickMark val="none"/>
        <c:minorTickMark val="none"/>
        <c:tickLblPos val="nextTo"/>
        <c:spPr>
          <a:ln w="9525" cap="flat" cmpd="sng" algn="ctr">
            <a:no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0"/>
        <c:crosses val="autoZero"/>
        <c:crossBetween val="between"/>
        <c:majorUnit val="50"/>
      </c:valAx>
      <c:catAx>
        <c:axId val="2"/>
        <c:scaling>
          <c:orientation val="minMax"/>
        </c:scaling>
        <c:delete val="1"/>
        <c:axPos val="b"/>
        <c:title>
          <c:tx>
            <c:rich>
              <a:bodyPr rot="0" spcFirstLastPara="0" vertOverflow="ellipsis" vert="horz" wrap="square" anchor="ctr" anchorCtr="1"/>
              <a:lstStyle/>
              <a:p>
                <a:pPr defTabSz="914400">
                  <a:defRPr lang="zh-CN" sz="10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rPr lang="en-US" altLang="zh-CN"/>
                  <a:t>%</a:t>
                </a:r>
                <a:endParaRPr lang="en-US" altLang="zh-CN"/>
              </a:p>
            </c:rich>
          </c:tx>
          <c:layout>
            <c:manualLayout>
              <c:xMode val="edge"/>
              <c:yMode val="edge"/>
              <c:x val="0.939651605169898"/>
              <c:y val="0.114473284877291"/>
            </c:manualLayout>
          </c:layout>
          <c:overlay val="0"/>
        </c:title>
        <c:majorTickMark val="none"/>
        <c:minorTickMark val="none"/>
        <c:tickLblPos val="nextTo"/>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3"/>
        <c:crosses val="autoZero"/>
        <c:auto val="0"/>
        <c:lblAlgn val="ctr"/>
        <c:lblOffset val="100"/>
        <c:tickLblSkip val="1"/>
        <c:noMultiLvlLbl val="0"/>
      </c:catAx>
      <c:valAx>
        <c:axId val="3"/>
        <c:scaling>
          <c:orientation val="minMax"/>
          <c:max val="20"/>
        </c:scaling>
        <c:delete val="0"/>
        <c:axPos val="r"/>
        <c:numFmt formatCode="General" sourceLinked="1"/>
        <c:majorTickMark val="none"/>
        <c:minorTickMark val="none"/>
        <c:tickLblPos val="nextTo"/>
        <c:spPr>
          <a:ln w="9525" cap="flat" cmpd="sng" algn="ctr">
            <a:no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2"/>
        <c:crosses val="max"/>
        <c:crossBetween val="between"/>
        <c:majorUnit val="5"/>
      </c:valAx>
      <c:spPr>
        <a:noFill/>
        <a:ln>
          <a:noFill/>
        </a:ln>
      </c:spPr>
    </c:plotArea>
    <c:legend>
      <c:legendPos val="t"/>
      <c:layout/>
      <c:overlay val="0"/>
      <c:txPr>
        <a:bodyPr rot="0" spcFirstLastPara="0" vertOverflow="ellipsis" vert="horz" wrap="square" anchor="ctr" anchorCtr="1"/>
        <a:lstStyle/>
        <a:p>
          <a:pPr>
            <a:defRPr lang="zh-CN" sz="10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
    <c:plotVisOnly val="1"/>
    <c:dispBlanksAs val="gap"/>
    <c:showDLblsOverMax val="0"/>
  </c:chart>
  <c:spPr>
    <a:solidFill>
      <a:srgbClr val="FFFFFF"/>
    </a:solidFill>
    <a:ln w="3175" cap="flat" cmpd="sng" algn="ctr">
      <a:noFill/>
      <a:prstDash val="solid"/>
      <a:round/>
    </a:ln>
  </c:spPr>
  <c:txPr>
    <a:bodyPr/>
    <a:lstStyle/>
    <a:p>
      <a:pPr>
        <a:defRPr lang="zh-CN" sz="10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altLang="en-US" sz="1200" b="1">
                <a:latin typeface="+mj-ea"/>
                <a:ea typeface="+mj-ea"/>
                <a:cs typeface="+mj-ea"/>
              </a:rPr>
              <a:t>图</a:t>
            </a:r>
            <a:r>
              <a:rPr lang="en-US" altLang="zh-CN" sz="1200" b="1">
                <a:latin typeface="+mj-ea"/>
                <a:ea typeface="+mj-ea"/>
                <a:cs typeface="+mj-ea"/>
              </a:rPr>
              <a:t>3   2016-2021</a:t>
            </a:r>
            <a:r>
              <a:rPr altLang="en-US" sz="1200" b="1">
                <a:latin typeface="+mj-ea"/>
                <a:ea typeface="+mj-ea"/>
                <a:cs typeface="+mj-ea"/>
              </a:rPr>
              <a:t>年固定资产投资增长速度</a:t>
            </a:r>
            <a:endParaRPr altLang="en-US" sz="1200" b="1">
              <a:latin typeface="+mj-ea"/>
              <a:ea typeface="+mj-ea"/>
              <a:cs typeface="+mj-ea"/>
            </a:endParaRPr>
          </a:p>
        </c:rich>
      </c:tx>
      <c:layout>
        <c:manualLayout>
          <c:xMode val="edge"/>
          <c:yMode val="edge"/>
          <c:x val="0.194722222222222"/>
          <c:y val="0.00993377483443709"/>
        </c:manualLayout>
      </c:layout>
      <c:overlay val="0"/>
      <c:spPr>
        <a:noFill/>
        <a:ln>
          <a:noFill/>
        </a:ln>
        <a:effectLst/>
      </c:spPr>
    </c:title>
    <c:autoTitleDeleted val="0"/>
    <c:plotArea>
      <c:layout>
        <c:manualLayout>
          <c:layoutTarget val="inner"/>
          <c:xMode val="edge"/>
          <c:yMode val="edge"/>
          <c:x val="0.0754999999999997"/>
          <c:y val="0.218852097130243"/>
          <c:w val="0.88075"/>
          <c:h val="0.683222958057395"/>
        </c:manualLayout>
      </c:layout>
      <c:lineChart>
        <c:grouping val="standard"/>
        <c:varyColors val="0"/>
        <c:ser>
          <c:idx val="0"/>
          <c:order val="0"/>
          <c:tx>
            <c:strRef>
              <c:f>'[2021年统计公报图表集总(1) (复件).xlsx]固定资产投资'!$B$2</c:f>
              <c:strCache>
                <c:ptCount val="1"/>
                <c:pt idx="0">
                  <c:v>比上年增长</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'[2021年统计公报图表集总(1) (复件).xlsx]固定资产投资'!$A$3:$A$8</c:f>
              <c:strCache>
                <c:ptCount val="6"/>
                <c:pt idx="0">
                  <c:v>2016年</c:v>
                </c:pt>
                <c:pt idx="1">
                  <c:v>2017年</c:v>
                </c:pt>
                <c:pt idx="2">
                  <c:v>2018年</c:v>
                </c:pt>
                <c:pt idx="3">
                  <c:v>2019年</c:v>
                </c:pt>
                <c:pt idx="4">
                  <c:v>2020年</c:v>
                </c:pt>
                <c:pt idx="5">
                  <c:v>2021年</c:v>
                </c:pt>
              </c:strCache>
            </c:strRef>
          </c:cat>
          <c:val>
            <c:numRef>
              <c:f>'[2021年统计公报图表集总(1) (复件).xlsx]固定资产投资'!$B$3:$B$8</c:f>
              <c:numCache>
                <c:formatCode>0.0_ </c:formatCode>
                <c:ptCount val="6"/>
                <c:pt idx="0">
                  <c:v>25.7</c:v>
                </c:pt>
                <c:pt idx="1">
                  <c:v>11.3054083477723</c:v>
                </c:pt>
                <c:pt idx="2">
                  <c:v>-6.2</c:v>
                </c:pt>
                <c:pt idx="3">
                  <c:v>-15.4</c:v>
                </c:pt>
                <c:pt idx="4">
                  <c:v>9.9</c:v>
                </c:pt>
                <c:pt idx="5">
                  <c:v>8.4</c:v>
                </c:pt>
              </c:numCache>
            </c:numRef>
          </c:val>
          <c:smooth val="0"/>
        </c:ser>
        <c:dLbls>
          <c:showLegendKey val="0"/>
          <c:showVal val="1"/>
          <c:showCatName val="0"/>
          <c:showSerName val="0"/>
          <c:showPercent val="0"/>
          <c:showBubbleSize val="0"/>
        </c:dLbls>
        <c:marker val="1"/>
        <c:smooth val="0"/>
        <c:axId val="478236728"/>
        <c:axId val="432715431"/>
      </c:lineChart>
      <c:catAx>
        <c:axId val="478236728"/>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a:t>
                </a:r>
                <a:endParaRPr lang="en-US" altLang="zh-CN"/>
              </a:p>
            </c:rich>
          </c:tx>
          <c:layout>
            <c:manualLayout>
              <c:xMode val="edge"/>
              <c:yMode val="edge"/>
              <c:x val="0.0301111111111111"/>
              <c:y val="0.132891832229581"/>
            </c:manualLayout>
          </c:layout>
          <c:overlay val="0"/>
          <c:spPr>
            <a:noFill/>
            <a:ln>
              <a:noFill/>
            </a:ln>
            <a:effectLst/>
          </c:spPr>
        </c:title>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2715431"/>
        <c:crosses val="autoZero"/>
        <c:auto val="1"/>
        <c:lblAlgn val="ctr"/>
        <c:lblOffset val="100"/>
        <c:noMultiLvlLbl val="0"/>
      </c:catAx>
      <c:valAx>
        <c:axId val="432715431"/>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78236728"/>
        <c:crosses val="autoZero"/>
        <c:crossBetween val="between"/>
      </c:valAx>
      <c:spPr>
        <a:noFill/>
        <a:ln>
          <a:noFill/>
        </a:ln>
        <a:effectLst/>
      </c:spPr>
    </c:plotArea>
    <c:legend>
      <c:legendPos val="t"/>
      <c:layout>
        <c:manualLayout>
          <c:xMode val="edge"/>
          <c:yMode val="edge"/>
          <c:x val="0.409930555555555"/>
          <c:y val="0.099779249448123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zh-CN" sz="14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rPr lang="zh-CN" altLang="zh-CN" sz="1200"/>
              <a:t> 图</a:t>
            </a:r>
            <a:r>
              <a:rPr lang="en-US" altLang="zh-CN" sz="1200"/>
              <a:t>4  </a:t>
            </a:r>
            <a:r>
              <a:rPr lang="zh-CN" altLang="zh-CN" sz="1200"/>
              <a:t>2016-2021年城镇居民人均可支配收入及其增长速度
</a:t>
            </a:r>
            <a:r>
              <a:rPr lang="zh-CN" altLang="zh-CN"/>
              <a:t>
</a:t>
            </a:r>
            <a:endParaRPr lang="zh-CN" altLang="zh-CN"/>
          </a:p>
        </c:rich>
      </c:tx>
      <c:layout/>
      <c:overlay val="0"/>
      <c:spPr>
        <a:noFill/>
        <a:ln>
          <a:noFill/>
        </a:ln>
      </c:spPr>
    </c:title>
    <c:autoTitleDeleted val="0"/>
    <c:plotArea>
      <c:layout>
        <c:manualLayout>
          <c:layoutTarget val="inner"/>
          <c:xMode val="edge"/>
          <c:yMode val="edge"/>
          <c:x val="0.0889650793650794"/>
          <c:y val="0.280829015544041"/>
          <c:w val="0.852546031746032"/>
          <c:h val="0.599205526770294"/>
        </c:manualLayout>
      </c:layout>
      <c:barChart>
        <c:barDir val="col"/>
        <c:grouping val="clustered"/>
        <c:varyColors val="0"/>
        <c:ser>
          <c:idx val="0"/>
          <c:order val="0"/>
          <c:tx>
            <c:strRef>
              <c:f>'[2021年统计公报图表集总(1) (复件).xlsx]城镇居民人均可支配收入及其增长速度'!$B$2</c:f>
              <c:strCache>
                <c:ptCount val="1"/>
                <c:pt idx="0">
                  <c:v>城镇居民人均可支配收入</c:v>
                </c:pt>
              </c:strCache>
            </c:strRef>
          </c:tx>
          <c:spPr>
            <a:solidFill>
              <a:srgbClr val="4F81BD"/>
            </a:solidFill>
            <a:ln>
              <a:noFill/>
            </a:ln>
          </c:spPr>
          <c:invertIfNegative val="0"/>
          <c:dPt>
            <c:idx val="0"/>
            <c:invertIfNegative val="0"/>
            <c:bubble3D val="0"/>
            <c:spPr>
              <a:solidFill>
                <a:srgbClr val="4F81BD"/>
              </a:solidFill>
              <a:ln>
                <a:noFill/>
              </a:ln>
            </c:spPr>
          </c:dPt>
          <c:dPt>
            <c:idx val="1"/>
            <c:invertIfNegative val="0"/>
            <c:bubble3D val="0"/>
            <c:spPr>
              <a:solidFill>
                <a:srgbClr val="4F81BD"/>
              </a:solidFill>
              <a:ln>
                <a:noFill/>
              </a:ln>
            </c:spPr>
          </c:dPt>
          <c:dPt>
            <c:idx val="2"/>
            <c:invertIfNegative val="0"/>
            <c:bubble3D val="0"/>
            <c:spPr>
              <a:solidFill>
                <a:srgbClr val="4F81BD"/>
              </a:solidFill>
              <a:ln>
                <a:noFill/>
              </a:ln>
            </c:spPr>
          </c:dPt>
          <c:dPt>
            <c:idx val="3"/>
            <c:invertIfNegative val="0"/>
            <c:bubble3D val="0"/>
            <c:spPr>
              <a:solidFill>
                <a:srgbClr val="4F81BD"/>
              </a:solidFill>
              <a:ln>
                <a:noFill/>
              </a:ln>
            </c:spPr>
          </c:dPt>
          <c:dPt>
            <c:idx val="4"/>
            <c:invertIfNegative val="0"/>
            <c:bubble3D val="0"/>
            <c:spPr>
              <a:solidFill>
                <a:srgbClr val="4F81BD"/>
              </a:solidFill>
              <a:ln>
                <a:noFill/>
              </a:ln>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2"/>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3"/>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4"/>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'[2021年统计公报图表集总(1) (复件).xlsx]城镇居民人均可支配收入及其增长速度'!$A$3:$A$8</c:f>
              <c:strCache>
                <c:ptCount val="6"/>
                <c:pt idx="0">
                  <c:v>2016年</c:v>
                </c:pt>
                <c:pt idx="1">
                  <c:v>2017年</c:v>
                </c:pt>
                <c:pt idx="2">
                  <c:v>2018年</c:v>
                </c:pt>
                <c:pt idx="3">
                  <c:v>2019年</c:v>
                </c:pt>
                <c:pt idx="4">
                  <c:v>2020年</c:v>
                </c:pt>
                <c:pt idx="5">
                  <c:v>2021年</c:v>
                </c:pt>
              </c:strCache>
            </c:strRef>
          </c:cat>
          <c:val>
            <c:numRef>
              <c:f>'[2021年统计公报图表集总(1) (复件).xlsx]城镇居民人均可支配收入及其增长速度'!$B$3:$B$8</c:f>
              <c:numCache>
                <c:formatCode>0_ </c:formatCode>
                <c:ptCount val="6"/>
                <c:pt idx="0">
                  <c:v>30775</c:v>
                </c:pt>
                <c:pt idx="1">
                  <c:v>33320</c:v>
                </c:pt>
                <c:pt idx="2">
                  <c:v>36137</c:v>
                </c:pt>
                <c:pt idx="3">
                  <c:v>38977</c:v>
                </c:pt>
                <c:pt idx="4" c:formatCode="General">
                  <c:v>40049</c:v>
                </c:pt>
                <c:pt idx="5" c:formatCode="General">
                  <c:v>43605</c:v>
                </c:pt>
              </c:numCache>
            </c:numRef>
          </c:val>
        </c:ser>
        <c:dLbls>
          <c:showLegendKey val="0"/>
          <c:showVal val="0"/>
          <c:showCatName val="0"/>
          <c:showSerName val="0"/>
          <c:showPercent val="0"/>
          <c:showBubbleSize val="0"/>
        </c:dLbls>
        <c:gapWidth val="219"/>
        <c:overlap val="-27"/>
        <c:axId val="0"/>
        <c:axId val="1"/>
      </c:barChart>
      <c:lineChart>
        <c:grouping val="standard"/>
        <c:varyColors val="0"/>
        <c:ser>
          <c:idx val="1"/>
          <c:order val="1"/>
          <c:tx>
            <c:strRef>
              <c:f>'[2021年统计公报图表集总(1) (复件).xlsx]城镇居民人均可支配收入及其增长速度'!$C$2</c:f>
              <c:strCache>
                <c:ptCount val="1"/>
                <c:pt idx="0">
                  <c:v>比上年增长</c:v>
                </c:pt>
              </c:strCache>
            </c:strRef>
          </c:tx>
          <c:spPr>
            <a:ln w="25400" cap="rnd" cmpd="sng" algn="ctr">
              <a:solidFill>
                <a:srgbClr val="C0504D"/>
              </a:solidFill>
              <a:prstDash val="solid"/>
              <a:round/>
            </a:ln>
          </c:spPr>
          <c:marker>
            <c:symbol val="circle"/>
            <c:size val="6"/>
            <c:spPr>
              <a:solidFill>
                <a:schemeClr val="bg1"/>
              </a:solidFill>
            </c:spPr>
          </c:marker>
          <c:dPt>
            <c:idx val="0"/>
            <c:marker>
              <c:symbol val="circle"/>
              <c:size val="6"/>
              <c:spPr>
                <a:solidFill>
                  <a:schemeClr val="bg1"/>
                </a:solidFill>
              </c:spPr>
            </c:marker>
            <c:bubble3D val="0"/>
            <c:spPr>
              <a:ln w="25400" cap="rnd" cmpd="sng" algn="ctr">
                <a:solidFill>
                  <a:srgbClr val="C0504D"/>
                </a:solidFill>
                <a:prstDash val="solid"/>
                <a:round/>
              </a:ln>
            </c:spPr>
          </c:dPt>
          <c:dPt>
            <c:idx val="1"/>
            <c:marker>
              <c:symbol val="circle"/>
              <c:size val="6"/>
              <c:spPr>
                <a:solidFill>
                  <a:schemeClr val="bg1"/>
                </a:solidFill>
              </c:spPr>
            </c:marker>
            <c:bubble3D val="0"/>
            <c:spPr>
              <a:ln w="25400" cap="rnd" cmpd="sng" algn="ctr">
                <a:solidFill>
                  <a:srgbClr val="C0504D"/>
                </a:solidFill>
                <a:prstDash val="solid"/>
                <a:round/>
              </a:ln>
            </c:spPr>
          </c:dPt>
          <c:dPt>
            <c:idx val="2"/>
            <c:marker>
              <c:symbol val="circle"/>
              <c:size val="6"/>
              <c:spPr>
                <a:solidFill>
                  <a:schemeClr val="bg1"/>
                </a:solidFill>
              </c:spPr>
            </c:marker>
            <c:bubble3D val="0"/>
            <c:spPr>
              <a:ln w="25400" cap="rnd" cmpd="sng" algn="ctr">
                <a:solidFill>
                  <a:srgbClr val="C0504D"/>
                </a:solidFill>
                <a:prstDash val="solid"/>
                <a:round/>
              </a:ln>
            </c:spPr>
          </c:dPt>
          <c:dPt>
            <c:idx val="3"/>
            <c:marker>
              <c:symbol val="circle"/>
              <c:size val="6"/>
              <c:spPr>
                <a:solidFill>
                  <a:schemeClr val="bg1"/>
                </a:solidFill>
              </c:spPr>
            </c:marker>
            <c:bubble3D val="0"/>
            <c:spPr>
              <a:ln w="25400" cap="rnd" cmpd="sng" algn="ctr">
                <a:solidFill>
                  <a:srgbClr val="C0504D"/>
                </a:solidFill>
                <a:prstDash val="solid"/>
                <a:round/>
              </a:ln>
            </c:spPr>
          </c:dPt>
          <c:dPt>
            <c:idx val="4"/>
            <c:marker>
              <c:symbol val="circle"/>
              <c:size val="6"/>
              <c:spPr>
                <a:solidFill>
                  <a:schemeClr val="bg1"/>
                </a:solidFill>
              </c:spPr>
            </c:marker>
            <c:bubble3D val="0"/>
            <c:spPr>
              <a:ln w="25400" cap="rnd" cmpd="sng" algn="ctr">
                <a:solidFill>
                  <a:srgbClr val="C0504D"/>
                </a:solidFill>
                <a:prstDash val="solid"/>
                <a:round/>
              </a:ln>
            </c:spPr>
          </c:dPt>
          <c:dLbls>
            <c:dLbl>
              <c:idx val="0"/>
              <c:layout>
                <c:manualLayout>
                  <c:x val="-0.0266666666666667"/>
                  <c:y val="0.0414507772020725"/>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228571428571429"/>
                  <c:y val="0.0336787564766839"/>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266666666666667"/>
                  <c:y val="0.0362694300518135"/>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19047619047619"/>
                  <c:y val="0.038860103626943"/>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'[2021年统计公报图表集总(1) (复件).xlsx]城镇居民人均可支配收入及其增长速度'!$A$3:$A$8</c:f>
              <c:strCache>
                <c:ptCount val="6"/>
                <c:pt idx="0">
                  <c:v>2016年</c:v>
                </c:pt>
                <c:pt idx="1">
                  <c:v>2017年</c:v>
                </c:pt>
                <c:pt idx="2">
                  <c:v>2018年</c:v>
                </c:pt>
                <c:pt idx="3">
                  <c:v>2019年</c:v>
                </c:pt>
                <c:pt idx="4">
                  <c:v>2020年</c:v>
                </c:pt>
                <c:pt idx="5">
                  <c:v>2021年</c:v>
                </c:pt>
              </c:strCache>
            </c:strRef>
          </c:cat>
          <c:val>
            <c:numRef>
              <c:f>'[2021年统计公报图表集总(1) (复件).xlsx]城镇居民人均可支配收入及其增长速度'!$C$3:$C$8</c:f>
              <c:numCache>
                <c:formatCode>General</c:formatCode>
                <c:ptCount val="6"/>
                <c:pt idx="0">
                  <c:v>7.9</c:v>
                </c:pt>
                <c:pt idx="1">
                  <c:v>8.3</c:v>
                </c:pt>
                <c:pt idx="2" c:formatCode="0.0_ ">
                  <c:v>8.5</c:v>
                </c:pt>
                <c:pt idx="3" c:formatCode="0.0_ ">
                  <c:v>7.9</c:v>
                </c:pt>
                <c:pt idx="4">
                  <c:v>2.8</c:v>
                </c:pt>
                <c:pt idx="5">
                  <c:v>8.9</c:v>
                </c:pt>
              </c:numCache>
            </c:numRef>
          </c:val>
          <c:smooth val="0"/>
        </c:ser>
        <c:dLbls>
          <c:showLegendKey val="0"/>
          <c:showVal val="0"/>
          <c:showCatName val="0"/>
          <c:showSerName val="0"/>
          <c:showPercent val="0"/>
          <c:showBubbleSize val="0"/>
        </c:dLbls>
        <c:marker val="1"/>
        <c:smooth val="0"/>
        <c:axId val="2"/>
        <c:axId val="3"/>
      </c:lineChart>
      <c:catAx>
        <c:axId val="0"/>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t>元</a:t>
                </a:r>
              </a:p>
            </c:rich>
          </c:tx>
          <c:layout>
            <c:manualLayout>
              <c:xMode val="edge"/>
              <c:yMode val="edge"/>
              <c:x val="0.023047619047619"/>
              <c:y val="0.197582037996546"/>
            </c:manualLayout>
          </c:layout>
          <c:overlay val="0"/>
        </c:title>
        <c:majorTickMark val="none"/>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1"/>
        <c:crosses val="autoZero"/>
        <c:auto val="0"/>
        <c:lblAlgn val="ctr"/>
        <c:lblOffset val="100"/>
        <c:tickLblSkip val="1"/>
        <c:noMultiLvlLbl val="0"/>
      </c:catAx>
      <c:valAx>
        <c:axId val="1"/>
        <c:scaling>
          <c:orientation val="minMax"/>
          <c:max val="50000"/>
        </c:scaling>
        <c:delete val="0"/>
        <c:axPos val="l"/>
        <c:majorGridlines>
          <c:spPr>
            <a:ln w="15875" cap="flat" cmpd="sng" algn="ctr">
              <a:solidFill>
                <a:schemeClr val="bg1">
                  <a:lumMod val="95000"/>
                </a:schemeClr>
              </a:solidFill>
              <a:prstDash val="solid"/>
              <a:round/>
            </a:ln>
          </c:spPr>
        </c:majorGridlines>
        <c:numFmt formatCode="0_ " sourceLinked="1"/>
        <c:majorTickMark val="none"/>
        <c:minorTickMark val="none"/>
        <c:tickLblPos val="nextTo"/>
        <c:spPr>
          <a:ln w="9525" cap="flat" cmpd="sng" algn="ctr">
            <a:no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0"/>
        <c:crosses val="autoZero"/>
        <c:crossBetween val="between"/>
        <c:majorUnit val="10000"/>
      </c:valAx>
      <c:catAx>
        <c:axId val="2"/>
        <c:scaling>
          <c:orientation val="minMax"/>
        </c:scaling>
        <c:delete val="1"/>
        <c:axPos val="b"/>
        <c:title>
          <c:tx>
            <c:rich>
              <a:bodyPr rot="0" spcFirstLastPara="0" vertOverflow="ellipsis" vert="horz" wrap="square" anchor="ctr" anchorCtr="1"/>
              <a:lstStyle/>
              <a:p>
                <a:pPr defTabSz="914400">
                  <a:defRPr lang="zh-CN" sz="10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rPr lang="en-US" altLang="zh-CN"/>
                  <a:t>%</a:t>
                </a:r>
                <a:endParaRPr lang="en-US" altLang="zh-CN"/>
              </a:p>
            </c:rich>
          </c:tx>
          <c:layout>
            <c:manualLayout>
              <c:xMode val="edge"/>
              <c:yMode val="edge"/>
              <c:x val="0.955111111111111"/>
              <c:y val="0.194991364421416"/>
            </c:manualLayout>
          </c:layout>
          <c:overlay val="0"/>
        </c:title>
        <c:majorTickMark val="none"/>
        <c:minorTickMark val="none"/>
        <c:tickLblPos val="nextTo"/>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3"/>
        <c:crosses val="autoZero"/>
        <c:auto val="0"/>
        <c:lblAlgn val="ctr"/>
        <c:lblOffset val="100"/>
        <c:tickLblSkip val="1"/>
        <c:noMultiLvlLbl val="0"/>
      </c:catAx>
      <c:valAx>
        <c:axId val="3"/>
        <c:scaling>
          <c:orientation val="minMax"/>
          <c:max val="12"/>
          <c:min val="2"/>
        </c:scaling>
        <c:delete val="0"/>
        <c:axPos val="r"/>
        <c:numFmt formatCode="General" sourceLinked="1"/>
        <c:majorTickMark val="none"/>
        <c:minorTickMark val="none"/>
        <c:tickLblPos val="nextTo"/>
        <c:spPr>
          <a:ln w="9525" cap="flat" cmpd="sng" algn="ctr">
            <a:no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2"/>
        <c:crosses val="max"/>
        <c:crossBetween val="between"/>
        <c:majorUnit val="2"/>
        <c:minorUnit val="0.4"/>
      </c:valAx>
      <c:spPr>
        <a:noFill/>
        <a:ln>
          <a:noFill/>
        </a:ln>
      </c:spPr>
    </c:plotArea>
    <c:legend>
      <c:legendPos val="b"/>
      <c:legendEntry>
        <c:idx val="0"/>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Entry>
      <c:legendEntry>
        <c:idx val="1"/>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Entry>
      <c:layout>
        <c:manualLayout>
          <c:xMode val="edge"/>
          <c:yMode val="edge"/>
          <c:x val="0.278095238095238"/>
          <c:y val="0.103108808290155"/>
        </c:manualLayout>
      </c:layout>
      <c:overlay val="0"/>
      <c:spPr>
        <a:noFill/>
        <a:ln>
          <a:noFill/>
        </a:ln>
      </c:spPr>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
    <c:plotVisOnly val="1"/>
    <c:dispBlanksAs val="gap"/>
    <c:showDLblsOverMax val="0"/>
  </c:chart>
  <c:spPr>
    <a:solidFill>
      <a:srgbClr val="FFFFFF"/>
    </a:solidFill>
    <a:ln w="3175" cap="flat" cmpd="sng" algn="ctr">
      <a:noFill/>
      <a:prstDash val="solid"/>
      <a:round/>
    </a:ln>
  </c:spPr>
  <c:txPr>
    <a:bodyPr/>
    <a:lstStyle/>
    <a:p>
      <a:pPr>
        <a:defRPr lang="zh-CN" sz="10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zh-CN" sz="14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rPr lang="zh-CN" altLang="zh-CN" sz="1200"/>
              <a:t> 图</a:t>
            </a:r>
            <a:r>
              <a:rPr lang="en-US" altLang="zh-CN" sz="1200"/>
              <a:t>5  </a:t>
            </a:r>
            <a:r>
              <a:rPr lang="zh-CN" altLang="zh-CN" sz="1200"/>
              <a:t>2016-2021年农村居民人均可支配收入及其增长速度</a:t>
            </a:r>
            <a:r>
              <a:rPr lang="zh-CN" altLang="zh-CN"/>
              <a:t>
</a:t>
            </a:r>
            <a:endParaRPr lang="zh-CN" altLang="zh-CN"/>
          </a:p>
        </c:rich>
      </c:tx>
      <c:layout/>
      <c:overlay val="0"/>
      <c:spPr>
        <a:noFill/>
        <a:ln>
          <a:noFill/>
        </a:ln>
      </c:spPr>
    </c:title>
    <c:autoTitleDeleted val="0"/>
    <c:plotArea>
      <c:layout>
        <c:manualLayout>
          <c:layoutTarget val="inner"/>
          <c:xMode val="edge"/>
          <c:yMode val="edge"/>
          <c:x val="0.0950535441101479"/>
          <c:y val="0.337091988130564"/>
          <c:w val="0.829015808261091"/>
          <c:h val="0.531434223541049"/>
        </c:manualLayout>
      </c:layout>
      <c:barChart>
        <c:barDir val="col"/>
        <c:grouping val="clustered"/>
        <c:varyColors val="0"/>
        <c:ser>
          <c:idx val="0"/>
          <c:order val="0"/>
          <c:tx>
            <c:strRef>
              <c:f>'[2021年统计公报图表集总(1) (复件).xlsx]农村居民人均可支配收入及其增长速度'!$B$2</c:f>
              <c:strCache>
                <c:ptCount val="1"/>
                <c:pt idx="0">
                  <c:v>农村居民人均可支配收入</c:v>
                </c:pt>
              </c:strCache>
            </c:strRef>
          </c:tx>
          <c:spPr>
            <a:solidFill>
              <a:srgbClr val="4F81BD"/>
            </a:solidFill>
            <a:ln>
              <a:noFill/>
            </a:ln>
          </c:spPr>
          <c:invertIfNegative val="0"/>
          <c:dPt>
            <c:idx val="0"/>
            <c:invertIfNegative val="0"/>
            <c:bubble3D val="0"/>
            <c:spPr>
              <a:solidFill>
                <a:srgbClr val="4F81BD"/>
              </a:solidFill>
              <a:ln>
                <a:noFill/>
              </a:ln>
            </c:spPr>
          </c:dPt>
          <c:dPt>
            <c:idx val="1"/>
            <c:invertIfNegative val="0"/>
            <c:bubble3D val="0"/>
            <c:spPr>
              <a:solidFill>
                <a:srgbClr val="4F81BD"/>
              </a:solidFill>
              <a:ln>
                <a:noFill/>
              </a:ln>
            </c:spPr>
          </c:dPt>
          <c:dPt>
            <c:idx val="2"/>
            <c:invertIfNegative val="0"/>
            <c:bubble3D val="0"/>
            <c:spPr>
              <a:solidFill>
                <a:srgbClr val="4F81BD"/>
              </a:solidFill>
              <a:ln>
                <a:noFill/>
              </a:ln>
            </c:spPr>
          </c:dPt>
          <c:dPt>
            <c:idx val="3"/>
            <c:invertIfNegative val="0"/>
            <c:bubble3D val="0"/>
            <c:spPr>
              <a:solidFill>
                <a:srgbClr val="4F81BD"/>
              </a:solidFill>
              <a:ln>
                <a:noFill/>
              </a:ln>
            </c:spPr>
          </c:dPt>
          <c:dPt>
            <c:idx val="4"/>
            <c:invertIfNegative val="0"/>
            <c:bubble3D val="0"/>
            <c:spPr>
              <a:solidFill>
                <a:srgbClr val="4F81BD"/>
              </a:solidFill>
              <a:ln>
                <a:noFill/>
              </a:ln>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2"/>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3"/>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4"/>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'[2021年统计公报图表集总(1) (复件).xlsx]农村居民人均可支配收入及其增长速度'!$A$3:$A$8</c:f>
              <c:strCache>
                <c:ptCount val="6"/>
                <c:pt idx="0">
                  <c:v>2016年</c:v>
                </c:pt>
                <c:pt idx="1">
                  <c:v>2017年</c:v>
                </c:pt>
                <c:pt idx="2">
                  <c:v>2018年</c:v>
                </c:pt>
                <c:pt idx="3">
                  <c:v>2019年</c:v>
                </c:pt>
                <c:pt idx="4">
                  <c:v>2020年</c:v>
                </c:pt>
                <c:pt idx="5">
                  <c:v>2021年</c:v>
                </c:pt>
              </c:strCache>
            </c:strRef>
          </c:cat>
          <c:val>
            <c:numRef>
              <c:f>'[2021年统计公报图表集总(1) (复件).xlsx]农村居民人均可支配收入及其增长速度'!$B$3:$B$8</c:f>
              <c:numCache>
                <c:formatCode>General</c:formatCode>
                <c:ptCount val="6"/>
                <c:pt idx="0">
                  <c:v>12679</c:v>
                </c:pt>
                <c:pt idx="1">
                  <c:v>13763</c:v>
                </c:pt>
                <c:pt idx="2">
                  <c:v>14886</c:v>
                </c:pt>
                <c:pt idx="3">
                  <c:v>16116</c:v>
                </c:pt>
                <c:pt idx="4">
                  <c:v>17405</c:v>
                </c:pt>
                <c:pt idx="5">
                  <c:v>19267</c:v>
                </c:pt>
              </c:numCache>
            </c:numRef>
          </c:val>
        </c:ser>
        <c:dLbls>
          <c:showLegendKey val="0"/>
          <c:showVal val="0"/>
          <c:showCatName val="0"/>
          <c:showSerName val="0"/>
          <c:showPercent val="0"/>
          <c:showBubbleSize val="0"/>
        </c:dLbls>
        <c:gapWidth val="128"/>
        <c:overlap val="-22"/>
        <c:axId val="0"/>
        <c:axId val="1"/>
      </c:barChart>
      <c:lineChart>
        <c:grouping val="standard"/>
        <c:varyColors val="0"/>
        <c:ser>
          <c:idx val="1"/>
          <c:order val="1"/>
          <c:tx>
            <c:strRef>
              <c:f>'[2021年统计公报图表集总(1) (复件).xlsx]农村居民人均可支配收入及其增长速度'!$C$2</c:f>
              <c:strCache>
                <c:ptCount val="1"/>
                <c:pt idx="0">
                  <c:v>比上年增长</c:v>
                </c:pt>
              </c:strCache>
            </c:strRef>
          </c:tx>
          <c:spPr>
            <a:ln w="25400" cap="rnd" cmpd="sng" algn="ctr">
              <a:solidFill>
                <a:srgbClr val="C0504D"/>
              </a:solidFill>
              <a:prstDash val="solid"/>
              <a:round/>
            </a:ln>
          </c:spPr>
          <c:marker>
            <c:symbol val="circle"/>
            <c:size val="5"/>
            <c:spPr>
              <a:solidFill>
                <a:srgbClr val="FFFFFF"/>
              </a:solidFill>
              <a:ln w="9525" cap="flat" cmpd="sng" algn="ctr">
                <a:solidFill>
                  <a:srgbClr val="C0504D"/>
                </a:solidFill>
                <a:prstDash val="solid"/>
                <a:round/>
              </a:ln>
            </c:spPr>
          </c:marker>
          <c:dPt>
            <c:idx val="0"/>
            <c:marker>
              <c:symbol val="circle"/>
              <c:size val="5"/>
              <c:spPr>
                <a:solidFill>
                  <a:srgbClr val="FFFFFF"/>
                </a:solidFill>
                <a:ln w="9525" cap="flat" cmpd="sng" algn="ctr">
                  <a:solidFill>
                    <a:srgbClr val="C0504D"/>
                  </a:solidFill>
                  <a:prstDash val="solid"/>
                  <a:round/>
                </a:ln>
              </c:spPr>
            </c:marker>
            <c:bubble3D val="0"/>
            <c:spPr>
              <a:ln w="25400" cap="rnd" cmpd="sng" algn="ctr">
                <a:solidFill>
                  <a:srgbClr val="C0504D"/>
                </a:solidFill>
                <a:prstDash val="solid"/>
                <a:round/>
              </a:ln>
            </c:spPr>
          </c:dPt>
          <c:dPt>
            <c:idx val="1"/>
            <c:marker>
              <c:symbol val="circle"/>
              <c:size val="5"/>
              <c:spPr>
                <a:solidFill>
                  <a:srgbClr val="FFFFFF"/>
                </a:solidFill>
                <a:ln w="9525" cap="flat" cmpd="sng" algn="ctr">
                  <a:solidFill>
                    <a:srgbClr val="C0504D"/>
                  </a:solidFill>
                  <a:prstDash val="solid"/>
                  <a:round/>
                </a:ln>
              </c:spPr>
            </c:marker>
            <c:bubble3D val="0"/>
            <c:spPr>
              <a:ln w="25400" cap="rnd" cmpd="sng" algn="ctr">
                <a:solidFill>
                  <a:srgbClr val="C0504D"/>
                </a:solidFill>
                <a:prstDash val="solid"/>
                <a:round/>
              </a:ln>
            </c:spPr>
          </c:dPt>
          <c:dPt>
            <c:idx val="2"/>
            <c:marker>
              <c:symbol val="circle"/>
              <c:size val="5"/>
              <c:spPr>
                <a:solidFill>
                  <a:srgbClr val="FFFFFF"/>
                </a:solidFill>
                <a:ln w="9525" cap="flat" cmpd="sng" algn="ctr">
                  <a:solidFill>
                    <a:srgbClr val="C0504D"/>
                  </a:solidFill>
                  <a:prstDash val="solid"/>
                  <a:round/>
                </a:ln>
              </c:spPr>
            </c:marker>
            <c:bubble3D val="0"/>
            <c:spPr>
              <a:ln w="25400" cap="rnd" cmpd="sng" algn="ctr">
                <a:solidFill>
                  <a:srgbClr val="C0504D"/>
                </a:solidFill>
                <a:prstDash val="solid"/>
                <a:round/>
              </a:ln>
            </c:spPr>
          </c:dPt>
          <c:dPt>
            <c:idx val="3"/>
            <c:marker>
              <c:symbol val="circle"/>
              <c:size val="5"/>
              <c:spPr>
                <a:solidFill>
                  <a:srgbClr val="FFFFFF"/>
                </a:solidFill>
                <a:ln w="9525" cap="flat" cmpd="sng" algn="ctr">
                  <a:solidFill>
                    <a:srgbClr val="C0504D"/>
                  </a:solidFill>
                  <a:prstDash val="solid"/>
                  <a:round/>
                </a:ln>
              </c:spPr>
            </c:marker>
            <c:bubble3D val="0"/>
            <c:spPr>
              <a:ln w="25400" cap="rnd" cmpd="sng" algn="ctr">
                <a:solidFill>
                  <a:srgbClr val="C0504D"/>
                </a:solidFill>
                <a:prstDash val="solid"/>
                <a:round/>
              </a:ln>
            </c:spPr>
          </c:dPt>
          <c:dPt>
            <c:idx val="4"/>
            <c:marker>
              <c:symbol val="circle"/>
              <c:size val="5"/>
              <c:spPr>
                <a:solidFill>
                  <a:srgbClr val="FFFFFF"/>
                </a:solidFill>
                <a:ln w="9525" cap="flat" cmpd="sng" algn="ctr">
                  <a:solidFill>
                    <a:srgbClr val="C0504D"/>
                  </a:solidFill>
                  <a:prstDash val="solid"/>
                  <a:round/>
                </a:ln>
              </c:spPr>
            </c:marker>
            <c:bubble3D val="0"/>
            <c:spPr>
              <a:ln w="25400" cap="rnd" cmpd="sng" algn="ctr">
                <a:solidFill>
                  <a:srgbClr val="C0504D"/>
                </a:solidFill>
                <a:prstDash val="solid"/>
                <a:round/>
              </a:ln>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r"/>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r"/>
              <c:showLegendKey val="0"/>
              <c:showVal val="1"/>
              <c:showCatName val="0"/>
              <c:showSerName val="0"/>
              <c:showPercent val="0"/>
              <c:showBubbleSize val="0"/>
              <c:extLst>
                <c:ext xmlns:c15="http://schemas.microsoft.com/office/drawing/2012/chart" uri="{CE6537A1-D6FC-4f65-9D91-7224C49458BB}"/>
              </c:extLst>
            </c:dLbl>
            <c:dLbl>
              <c:idx val="2"/>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0.0286843447220806"/>
                  <c:y val="0.029673590504451"/>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267720550739419"/>
                  <c:y val="0.0326409495548961"/>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0210351861295258"/>
                  <c:y val="0.0267062314540059"/>
                </c:manualLayout>
              </c:layout>
              <c:dLblPos val="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'[2021年统计公报图表集总(1) (复件).xlsx]农村居民人均可支配收入及其增长速度'!$A$3:$A$8</c:f>
              <c:strCache>
                <c:ptCount val="6"/>
                <c:pt idx="0">
                  <c:v>2016年</c:v>
                </c:pt>
                <c:pt idx="1">
                  <c:v>2017年</c:v>
                </c:pt>
                <c:pt idx="2">
                  <c:v>2018年</c:v>
                </c:pt>
                <c:pt idx="3">
                  <c:v>2019年</c:v>
                </c:pt>
                <c:pt idx="4">
                  <c:v>2020年</c:v>
                </c:pt>
                <c:pt idx="5">
                  <c:v>2021年</c:v>
                </c:pt>
              </c:strCache>
            </c:strRef>
          </c:cat>
          <c:val>
            <c:numRef>
              <c:f>'[2021年统计公报图表集总(1) (复件).xlsx]农村居民人均可支配收入及其增长速度'!$C$3:$C$8</c:f>
              <c:numCache>
                <c:formatCode>0.0_ </c:formatCode>
                <c:ptCount val="6"/>
                <c:pt idx="0">
                  <c:v>9</c:v>
                </c:pt>
                <c:pt idx="1">
                  <c:v>8.6</c:v>
                </c:pt>
                <c:pt idx="2">
                  <c:v>8.2</c:v>
                </c:pt>
                <c:pt idx="3">
                  <c:v>8.3</c:v>
                </c:pt>
                <c:pt idx="4">
                  <c:v>8</c:v>
                </c:pt>
                <c:pt idx="5">
                  <c:v>10.7</c:v>
                </c:pt>
              </c:numCache>
            </c:numRef>
          </c:val>
          <c:smooth val="0"/>
        </c:ser>
        <c:dLbls>
          <c:showLegendKey val="0"/>
          <c:showVal val="0"/>
          <c:showCatName val="0"/>
          <c:showSerName val="0"/>
          <c:showPercent val="0"/>
          <c:showBubbleSize val="0"/>
        </c:dLbls>
        <c:marker val="1"/>
        <c:smooth val="0"/>
        <c:axId val="2"/>
        <c:axId val="3"/>
      </c:lineChart>
      <c:catAx>
        <c:axId val="0"/>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t>元</a:t>
                </a:r>
              </a:p>
            </c:rich>
          </c:tx>
          <c:layout>
            <c:manualLayout>
              <c:xMode val="edge"/>
              <c:yMode val="edge"/>
              <c:x val="0.0307241203467619"/>
              <c:y val="0.241147378832839"/>
            </c:manualLayout>
          </c:layout>
          <c:overlay val="0"/>
        </c:title>
        <c:majorTickMark val="none"/>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1"/>
        <c:crosses val="autoZero"/>
        <c:auto val="0"/>
        <c:lblAlgn val="ctr"/>
        <c:lblOffset val="100"/>
        <c:tickLblSkip val="1"/>
        <c:noMultiLvlLbl val="0"/>
      </c:catAx>
      <c:valAx>
        <c:axId val="1"/>
        <c:scaling>
          <c:orientation val="minMax"/>
          <c:max val="20000"/>
          <c:min val="5000"/>
        </c:scaling>
        <c:delete val="0"/>
        <c:axPos val="l"/>
        <c:majorGridlines>
          <c:spPr>
            <a:ln w="15875" cap="flat" cmpd="sng" algn="ctr">
              <a:solidFill>
                <a:schemeClr val="bg1">
                  <a:lumMod val="95000"/>
                </a:schemeClr>
              </a:solidFill>
              <a:prstDash val="solid"/>
              <a:round/>
            </a:ln>
          </c:spPr>
        </c:majorGridlines>
        <c:numFmt formatCode="General" sourceLinked="1"/>
        <c:majorTickMark val="none"/>
        <c:minorTickMark val="none"/>
        <c:tickLblPos val="nextTo"/>
        <c:spPr>
          <a:ln w="9525" cap="flat" cmpd="sng" algn="ctr">
            <a:no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0"/>
        <c:crosses val="autoZero"/>
        <c:crossBetween val="between"/>
        <c:majorUnit val="5000"/>
      </c:valAx>
      <c:catAx>
        <c:axId val="2"/>
        <c:scaling>
          <c:orientation val="minMax"/>
        </c:scaling>
        <c:delete val="1"/>
        <c:axPos val="b"/>
        <c:title>
          <c:tx>
            <c:rich>
              <a:bodyPr rot="0" spcFirstLastPara="0" vertOverflow="ellipsis" vert="horz" wrap="square" anchor="ctr" anchorCtr="1"/>
              <a:lstStyle/>
              <a:p>
                <a:pPr defTabSz="914400">
                  <a:defRPr lang="zh-CN" sz="10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rPr lang="en-US" altLang="zh-CN"/>
                  <a:t>%</a:t>
                </a:r>
                <a:endParaRPr lang="en-US" altLang="zh-CN"/>
              </a:p>
            </c:rich>
          </c:tx>
          <c:layout>
            <c:manualLayout>
              <c:xMode val="edge"/>
              <c:yMode val="edge"/>
              <c:x val="0.95308516063233"/>
              <c:y val="0.238180019782394"/>
            </c:manualLayout>
          </c:layout>
          <c:overlay val="0"/>
        </c:title>
        <c:majorTickMark val="none"/>
        <c:minorTickMark val="none"/>
        <c:tickLblPos val="nextTo"/>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3"/>
        <c:crosses val="autoZero"/>
        <c:auto val="0"/>
        <c:lblAlgn val="ctr"/>
        <c:lblOffset val="100"/>
        <c:tickLblSkip val="1"/>
        <c:noMultiLvlLbl val="0"/>
      </c:catAx>
      <c:valAx>
        <c:axId val="3"/>
        <c:scaling>
          <c:orientation val="minMax"/>
          <c:min val="7"/>
        </c:scaling>
        <c:delete val="0"/>
        <c:axPos val="r"/>
        <c:numFmt formatCode="0.0_ " sourceLinked="1"/>
        <c:majorTickMark val="none"/>
        <c:minorTickMark val="none"/>
        <c:tickLblPos val="nextTo"/>
        <c:spPr>
          <a:ln w="9525" cap="flat" cmpd="sng" algn="ctr">
            <a:no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2"/>
        <c:crosses val="max"/>
        <c:crossBetween val="between"/>
      </c:valAx>
      <c:spPr>
        <a:noFill/>
        <a:ln>
          <a:noFill/>
        </a:ln>
      </c:spPr>
    </c:plotArea>
    <c:legend>
      <c:legendPos val="b"/>
      <c:legendEntry>
        <c:idx val="0"/>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Entry>
      <c:legendEntry>
        <c:idx val="1"/>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Entry>
      <c:layout>
        <c:manualLayout>
          <c:xMode val="edge"/>
          <c:yMode val="edge"/>
          <c:x val="0.258095359510454"/>
          <c:y val="0.129970326409496"/>
        </c:manualLayout>
      </c:layout>
      <c:overlay val="0"/>
      <c:spPr>
        <a:noFill/>
        <a:ln>
          <a:noFill/>
        </a:ln>
      </c:spPr>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
    <c:plotVisOnly val="1"/>
    <c:dispBlanksAs val="gap"/>
    <c:showDLblsOverMax val="0"/>
  </c:chart>
  <c:spPr>
    <a:solidFill>
      <a:srgbClr val="FFFFFF"/>
    </a:solidFill>
    <a:ln w="3175" cap="flat" cmpd="sng" algn="ctr">
      <a:noFill/>
      <a:prstDash val="solid"/>
      <a:round/>
    </a:ln>
  </c:spPr>
  <c:txPr>
    <a:bodyPr/>
    <a:lstStyle/>
    <a:p>
      <a:pPr>
        <a:defRPr lang="zh-CN" sz="10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200" b="0" i="0" u="none" strike="noStrike" kern="1200" spc="0" baseline="0">
                <a:solidFill>
                  <a:schemeClr val="tx1">
                    <a:lumMod val="65000"/>
                    <a:lumOff val="35000"/>
                  </a:schemeClr>
                </a:solidFill>
                <a:latin typeface="+mj-ea"/>
                <a:ea typeface="+mj-ea"/>
                <a:cs typeface="+mj-ea"/>
                <a:sym typeface="+mj-ea"/>
              </a:defRPr>
            </a:pPr>
            <a:r>
              <a:rPr sz="1200" b="1">
                <a:latin typeface="+mj-ea"/>
                <a:ea typeface="+mj-ea"/>
                <a:cs typeface="+mj-ea"/>
                <a:sym typeface="+mj-ea"/>
              </a:rPr>
              <a:t>图</a:t>
            </a:r>
            <a:r>
              <a:rPr lang="en-US" altLang="zh-CN" sz="1200" b="1">
                <a:latin typeface="+mj-ea"/>
                <a:ea typeface="+mj-ea"/>
                <a:cs typeface="+mj-ea"/>
                <a:sym typeface="+mj-ea"/>
              </a:rPr>
              <a:t>6   2016-2021</a:t>
            </a:r>
            <a:r>
              <a:rPr altLang="en-US" sz="1200" b="1">
                <a:latin typeface="+mj-ea"/>
                <a:ea typeface="+mj-ea"/>
                <a:cs typeface="+mj-ea"/>
                <a:sym typeface="+mj-ea"/>
              </a:rPr>
              <a:t>年粮食产量</a:t>
            </a:r>
            <a:endParaRPr altLang="en-US" sz="1200" b="1">
              <a:latin typeface="+mj-ea"/>
              <a:ea typeface="+mj-ea"/>
              <a:cs typeface="+mj-ea"/>
              <a:sym typeface="+mj-ea"/>
            </a:endParaRPr>
          </a:p>
        </c:rich>
      </c:tx>
      <c:layout>
        <c:manualLayout>
          <c:xMode val="edge"/>
          <c:yMode val="edge"/>
          <c:x val="0.292222222222222"/>
          <c:y val="0.0138888888888889"/>
        </c:manualLayout>
      </c:layout>
      <c:overlay val="0"/>
      <c:spPr>
        <a:noFill/>
        <a:ln>
          <a:noFill/>
        </a:ln>
        <a:effectLst/>
      </c:spPr>
    </c:title>
    <c:autoTitleDeleted val="0"/>
    <c:plotArea>
      <c:layout>
        <c:manualLayout>
          <c:layoutTarget val="inner"/>
          <c:xMode val="edge"/>
          <c:yMode val="edge"/>
          <c:x val="0.127166666666667"/>
          <c:y val="0.179166666666667"/>
          <c:w val="0.800611111111111"/>
          <c:h val="0.722777777777778"/>
        </c:manualLayout>
      </c:layout>
      <c:barChart>
        <c:barDir val="col"/>
        <c:grouping val="clustered"/>
        <c:varyColors val="0"/>
        <c:ser>
          <c:idx val="0"/>
          <c:order val="0"/>
          <c:spPr>
            <a:solidFill>
              <a:schemeClr val="accent1"/>
            </a:solidFill>
            <a:ln>
              <a:noFill/>
            </a:ln>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'[2021年统计公报图表集总(1) (复件).xlsx]农业粮食产量'!$A$2:$A$7</c:f>
              <c:strCache>
                <c:ptCount val="6"/>
                <c:pt idx="0">
                  <c:v>2016年</c:v>
                </c:pt>
                <c:pt idx="1">
                  <c:v>2017年</c:v>
                </c:pt>
                <c:pt idx="2">
                  <c:v>2018年</c:v>
                </c:pt>
                <c:pt idx="3">
                  <c:v>2019年</c:v>
                </c:pt>
                <c:pt idx="4">
                  <c:v>2020年</c:v>
                </c:pt>
                <c:pt idx="5">
                  <c:v>2021年</c:v>
                </c:pt>
              </c:strCache>
            </c:strRef>
          </c:cat>
          <c:val>
            <c:numRef>
              <c:f>'[2021年统计公报图表集总(1) (复件).xlsx]农业粮食产量'!$B$2:$B$7</c:f>
              <c:numCache>
                <c:formatCode>0.0_ </c:formatCode>
                <c:ptCount val="6"/>
                <c:pt idx="0">
                  <c:v>15.1</c:v>
                </c:pt>
                <c:pt idx="1">
                  <c:v>14.8</c:v>
                </c:pt>
                <c:pt idx="2">
                  <c:v>12.05</c:v>
                </c:pt>
                <c:pt idx="3">
                  <c:v>12.23</c:v>
                </c:pt>
                <c:pt idx="4">
                  <c:v>10.54</c:v>
                </c:pt>
                <c:pt idx="5">
                  <c:v>10.23</c:v>
                </c:pt>
              </c:numCache>
            </c:numRef>
          </c:val>
        </c:ser>
        <c:dLbls>
          <c:showLegendKey val="0"/>
          <c:showVal val="1"/>
          <c:showCatName val="0"/>
          <c:showSerName val="0"/>
          <c:showPercent val="0"/>
          <c:showBubbleSize val="0"/>
        </c:dLbls>
        <c:gapWidth val="150"/>
        <c:overlap val="0"/>
        <c:axId val="730902478"/>
        <c:axId val="652213269"/>
      </c:barChart>
      <c:catAx>
        <c:axId val="73090247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52213269"/>
        <c:crosses val="autoZero"/>
        <c:auto val="1"/>
        <c:lblAlgn val="ctr"/>
        <c:lblOffset val="100"/>
        <c:noMultiLvlLbl val="0"/>
      </c:catAx>
      <c:valAx>
        <c:axId val="652213269"/>
        <c:scaling>
          <c:orientation val="minMax"/>
          <c:max val="18"/>
          <c:min val="10"/>
        </c:scaling>
        <c:delete val="0"/>
        <c:axPos val="l"/>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t>万吨</a:t>
                </a:r>
              </a:p>
            </c:rich>
          </c:tx>
          <c:layout>
            <c:manualLayout>
              <c:xMode val="edge"/>
              <c:yMode val="edge"/>
              <c:x val="0.0576388888888889"/>
              <c:y val="0.0722685185185185"/>
            </c:manualLayout>
          </c:layout>
          <c:overlay val="0"/>
          <c:spPr>
            <a:noFill/>
            <a:ln>
              <a:noFill/>
            </a:ln>
            <a:effectLst/>
          </c:spPr>
        </c:title>
        <c:numFmt formatCode="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3090247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200" b="1">
                <a:latin typeface="+mj-ea"/>
                <a:ea typeface="+mj-ea"/>
                <a:cs typeface="+mj-ea"/>
              </a:rPr>
              <a:t>图</a:t>
            </a:r>
            <a:r>
              <a:rPr lang="en-US" altLang="zh-CN" sz="1200" b="1">
                <a:latin typeface="+mj-ea"/>
                <a:ea typeface="+mj-ea"/>
                <a:cs typeface="+mj-ea"/>
              </a:rPr>
              <a:t>7   2016-2021</a:t>
            </a:r>
            <a:r>
              <a:rPr altLang="en-US" sz="1200" b="1">
                <a:latin typeface="+mj-ea"/>
                <a:ea typeface="+mj-ea"/>
                <a:cs typeface="+mj-ea"/>
              </a:rPr>
              <a:t>年规模以上工业增加值增长速度</a:t>
            </a:r>
            <a:endParaRPr altLang="en-US" sz="1200" b="1">
              <a:latin typeface="+mj-ea"/>
              <a:ea typeface="+mj-ea"/>
              <a:cs typeface="+mj-ea"/>
            </a:endParaRPr>
          </a:p>
        </c:rich>
      </c:tx>
      <c:layout>
        <c:manualLayout>
          <c:xMode val="edge"/>
          <c:yMode val="edge"/>
          <c:x val="0.162222222222222"/>
          <c:y val="0.0065359477124183"/>
        </c:manualLayout>
      </c:layout>
      <c:overlay val="0"/>
      <c:spPr>
        <a:noFill/>
        <a:ln>
          <a:noFill/>
        </a:ln>
        <a:effectLst/>
      </c:spPr>
    </c:title>
    <c:autoTitleDeleted val="0"/>
    <c:plotArea>
      <c:layout>
        <c:manualLayout>
          <c:layoutTarget val="inner"/>
          <c:xMode val="edge"/>
          <c:yMode val="edge"/>
          <c:x val="0.0803300505722651"/>
          <c:y val="0.19495642701525"/>
          <c:w val="0.901027777777778"/>
          <c:h val="0.711666666666667"/>
        </c:manualLayout>
      </c:layout>
      <c:lineChart>
        <c:grouping val="standard"/>
        <c:varyColors val="0"/>
        <c:ser>
          <c:idx val="0"/>
          <c:order val="0"/>
          <c:tx>
            <c:strRef>
              <c:f>'[2021年统计公报图表集总(1) (复件).xlsx]规上工业增加值增速'!$B$2</c:f>
              <c:strCache>
                <c:ptCount val="1"/>
                <c:pt idx="0">
                  <c:v>比上年增长</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'[2021年统计公报图表集总(1) (复件).xlsx]规上工业增加值增速'!$A$3:$A$8</c:f>
              <c:strCache>
                <c:ptCount val="6"/>
                <c:pt idx="0">
                  <c:v>2016年</c:v>
                </c:pt>
                <c:pt idx="1">
                  <c:v>2017年</c:v>
                </c:pt>
                <c:pt idx="2">
                  <c:v>2018年</c:v>
                </c:pt>
                <c:pt idx="3">
                  <c:v>2019年</c:v>
                </c:pt>
                <c:pt idx="4">
                  <c:v>2020年</c:v>
                </c:pt>
                <c:pt idx="5">
                  <c:v>2021年</c:v>
                </c:pt>
              </c:strCache>
            </c:strRef>
          </c:cat>
          <c:val>
            <c:numRef>
              <c:f>'[2021年统计公报图表集总(1) (复件).xlsx]规上工业增加值增速'!$B$3:$B$8</c:f>
              <c:numCache>
                <c:formatCode>0.0_ </c:formatCode>
                <c:ptCount val="6"/>
                <c:pt idx="0">
                  <c:v>2.2</c:v>
                </c:pt>
                <c:pt idx="1">
                  <c:v>4.5</c:v>
                </c:pt>
                <c:pt idx="2">
                  <c:v>8</c:v>
                </c:pt>
                <c:pt idx="3">
                  <c:v>3.2</c:v>
                </c:pt>
                <c:pt idx="4">
                  <c:v>-3.3</c:v>
                </c:pt>
                <c:pt idx="5">
                  <c:v>15.9</c:v>
                </c:pt>
              </c:numCache>
            </c:numRef>
          </c:val>
          <c:smooth val="0"/>
        </c:ser>
        <c:dLbls>
          <c:showLegendKey val="0"/>
          <c:showVal val="1"/>
          <c:showCatName val="0"/>
          <c:showSerName val="0"/>
          <c:showPercent val="0"/>
          <c:showBubbleSize val="0"/>
        </c:dLbls>
        <c:marker val="1"/>
        <c:smooth val="0"/>
        <c:axId val="181298196"/>
        <c:axId val="668938852"/>
      </c:lineChart>
      <c:catAx>
        <c:axId val="181298196"/>
        <c:scaling>
          <c:orientation val="minMax"/>
        </c:scaling>
        <c:delete val="0"/>
        <c:axPos val="b"/>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8938852"/>
        <c:crosses val="autoZero"/>
        <c:auto val="1"/>
        <c:lblAlgn val="ctr"/>
        <c:lblOffset val="100"/>
        <c:noMultiLvlLbl val="0"/>
      </c:catAx>
      <c:valAx>
        <c:axId val="668938852"/>
        <c:scaling>
          <c:orientation val="minMax"/>
          <c:min val="-4"/>
        </c:scaling>
        <c:delete val="0"/>
        <c:axPos val="l"/>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a:t>
                </a:r>
                <a:endParaRPr lang="en-US" altLang="zh-CN"/>
              </a:p>
            </c:rich>
          </c:tx>
          <c:layout>
            <c:manualLayout>
              <c:xMode val="edge"/>
              <c:yMode val="edge"/>
              <c:x val="0.0209203930440955"/>
              <c:y val="0.103940631808279"/>
            </c:manualLayout>
          </c:layout>
          <c:overlay val="0"/>
          <c:spPr>
            <a:noFill/>
            <a:ln>
              <a:noFill/>
            </a:ln>
            <a:effectLst/>
          </c:spPr>
        </c:title>
        <c:numFmt formatCode="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81298196"/>
        <c:crosses val="autoZero"/>
        <c:crossBetween val="between"/>
      </c:valAx>
      <c:spPr>
        <a:noFill/>
        <a:ln>
          <a:noFill/>
        </a:ln>
        <a:effectLst/>
      </c:spPr>
    </c:plotArea>
    <c:legend>
      <c:legendPos val="t"/>
      <c:layout>
        <c:manualLayout>
          <c:xMode val="edge"/>
          <c:yMode val="edge"/>
          <c:x val="0.405763888888889"/>
          <c:y val="0.0859613289760349"/>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200" b="1">
                <a:latin typeface="+mj-ea"/>
                <a:ea typeface="+mj-ea"/>
                <a:cs typeface="+mj-ea"/>
              </a:rPr>
              <a:t>图</a:t>
            </a:r>
            <a:r>
              <a:rPr lang="en-US" altLang="zh-CN" sz="1200" b="1">
                <a:latin typeface="+mj-ea"/>
                <a:ea typeface="+mj-ea"/>
                <a:cs typeface="+mj-ea"/>
              </a:rPr>
              <a:t>8   2016-2021</a:t>
            </a:r>
            <a:r>
              <a:rPr altLang="en-US" sz="1200" b="1">
                <a:latin typeface="+mj-ea"/>
                <a:ea typeface="+mj-ea"/>
                <a:cs typeface="+mj-ea"/>
              </a:rPr>
              <a:t>年社会消费品零售总额及其增长速度</a:t>
            </a:r>
            <a:endParaRPr altLang="en-US" sz="1200" b="1">
              <a:latin typeface="+mj-ea"/>
              <a:ea typeface="+mj-ea"/>
              <a:cs typeface="+mj-ea"/>
            </a:endParaRPr>
          </a:p>
        </c:rich>
      </c:tx>
      <c:layout/>
      <c:overlay val="0"/>
      <c:spPr>
        <a:noFill/>
        <a:ln>
          <a:noFill/>
        </a:ln>
        <a:effectLst/>
      </c:spPr>
    </c:title>
    <c:autoTitleDeleted val="0"/>
    <c:plotArea>
      <c:layout>
        <c:manualLayout>
          <c:layoutTarget val="inner"/>
          <c:xMode val="edge"/>
          <c:yMode val="edge"/>
          <c:x val="0.1105"/>
          <c:y val="0.280092592592593"/>
          <c:w val="0.812611111111111"/>
          <c:h val="0.606805555555556"/>
        </c:manualLayout>
      </c:layout>
      <c:barChart>
        <c:barDir val="col"/>
        <c:grouping val="clustered"/>
        <c:varyColors val="0"/>
        <c:ser>
          <c:idx val="0"/>
          <c:order val="0"/>
          <c:tx>
            <c:strRef>
              <c:f>'[2021年统计公报图表集总(1) (复件).xlsx]社会消费品总额及增长'!$B$2</c:f>
              <c:strCache>
                <c:ptCount val="1"/>
                <c:pt idx="0">
                  <c:v>社会消费品零售总额</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'[2021年统计公报图表集总(1) (复件).xlsx]社会消费品总额及增长'!$A$3:$A$8</c:f>
              <c:strCache>
                <c:ptCount val="6"/>
                <c:pt idx="0">
                  <c:v>2016年</c:v>
                </c:pt>
                <c:pt idx="1">
                  <c:v>2017年</c:v>
                </c:pt>
                <c:pt idx="2">
                  <c:v>2018年</c:v>
                </c:pt>
                <c:pt idx="3">
                  <c:v>2019年</c:v>
                </c:pt>
                <c:pt idx="4">
                  <c:v>2020年</c:v>
                </c:pt>
                <c:pt idx="5">
                  <c:v>2021年</c:v>
                </c:pt>
              </c:strCache>
            </c:strRef>
          </c:cat>
          <c:val>
            <c:numRef>
              <c:f>'[2021年统计公报图表集总(1) (复件).xlsx]社会消费品总额及增长'!$B$3:$B$8</c:f>
              <c:numCache>
                <c:formatCode>0.00_ </c:formatCode>
                <c:ptCount val="6"/>
                <c:pt idx="0">
                  <c:v>673.3</c:v>
                </c:pt>
                <c:pt idx="1">
                  <c:v>742.72</c:v>
                </c:pt>
                <c:pt idx="2">
                  <c:v>787.25</c:v>
                </c:pt>
                <c:pt idx="3">
                  <c:v>823.94</c:v>
                </c:pt>
                <c:pt idx="4">
                  <c:v>835.89</c:v>
                </c:pt>
                <c:pt idx="5">
                  <c:v>1056.98</c:v>
                </c:pt>
              </c:numCache>
            </c:numRef>
          </c:val>
        </c:ser>
        <c:dLbls>
          <c:showLegendKey val="0"/>
          <c:showVal val="1"/>
          <c:showCatName val="0"/>
          <c:showSerName val="0"/>
          <c:showPercent val="0"/>
          <c:showBubbleSize val="0"/>
        </c:dLbls>
        <c:gapWidth val="150"/>
        <c:overlap val="0"/>
        <c:axId val="245045962"/>
        <c:axId val="180788319"/>
      </c:barChart>
      <c:lineChart>
        <c:grouping val="standard"/>
        <c:varyColors val="0"/>
        <c:ser>
          <c:idx val="1"/>
          <c:order val="1"/>
          <c:tx>
            <c:strRef>
              <c:f>'[2021年统计公报图表集总(1) (复件).xlsx]社会消费品总额及增长'!$C$2</c:f>
              <c:strCache>
                <c:ptCount val="1"/>
                <c:pt idx="0">
                  <c:v>比上年增长</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1"/>
              <c:layout>
                <c:manualLayout>
                  <c:x val="-0.06875"/>
                  <c:y val="-0.0277777777777778"/>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4375"/>
                  <c:y val="-0.0416666666666667"/>
                </c:manualLayout>
              </c:layout>
              <c:dLblPos val="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'[2021年统计公报图表集总(1) (复件).xlsx]社会消费品总额及增长'!$A$3:$A$8</c:f>
              <c:strCache>
                <c:ptCount val="6"/>
                <c:pt idx="0">
                  <c:v>2016年</c:v>
                </c:pt>
                <c:pt idx="1">
                  <c:v>2017年</c:v>
                </c:pt>
                <c:pt idx="2">
                  <c:v>2018年</c:v>
                </c:pt>
                <c:pt idx="3">
                  <c:v>2019年</c:v>
                </c:pt>
                <c:pt idx="4">
                  <c:v>2020年</c:v>
                </c:pt>
                <c:pt idx="5">
                  <c:v>2021年</c:v>
                </c:pt>
              </c:strCache>
            </c:strRef>
          </c:cat>
          <c:val>
            <c:numRef>
              <c:f>'[2021年统计公报图表集总(1) (复件).xlsx]社会消费品总额及增长'!$C$3:$C$8</c:f>
              <c:numCache>
                <c:formatCode>0.0_ </c:formatCode>
                <c:ptCount val="6"/>
                <c:pt idx="0">
                  <c:v>9.8</c:v>
                </c:pt>
                <c:pt idx="1">
                  <c:v>11.0465322824212</c:v>
                </c:pt>
                <c:pt idx="2">
                  <c:v>5.9</c:v>
                </c:pt>
                <c:pt idx="3">
                  <c:v>4.7</c:v>
                </c:pt>
                <c:pt idx="4">
                  <c:v>1.5</c:v>
                </c:pt>
                <c:pt idx="5">
                  <c:v>26.5</c:v>
                </c:pt>
              </c:numCache>
            </c:numRef>
          </c:val>
          <c:smooth val="0"/>
        </c:ser>
        <c:dLbls>
          <c:showLegendKey val="0"/>
          <c:showVal val="1"/>
          <c:showCatName val="0"/>
          <c:showSerName val="0"/>
          <c:showPercent val="0"/>
          <c:showBubbleSize val="0"/>
        </c:dLbls>
        <c:marker val="1"/>
        <c:smooth val="0"/>
        <c:axId val="889139662"/>
        <c:axId val="404158844"/>
      </c:lineChart>
      <c:catAx>
        <c:axId val="245045962"/>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t>亿元</a:t>
                </a:r>
              </a:p>
            </c:rich>
          </c:tx>
          <c:layout>
            <c:manualLayout>
              <c:xMode val="edge"/>
              <c:yMode val="edge"/>
              <c:x val="0.0166666666666665"/>
              <c:y val="0.157175925925926"/>
            </c:manualLayout>
          </c:layout>
          <c:overlay val="0"/>
          <c:spPr>
            <a:noFill/>
            <a:ln>
              <a:noFill/>
            </a:ln>
            <a:effectLst/>
          </c:sp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80788319"/>
        <c:crosses val="autoZero"/>
        <c:auto val="1"/>
        <c:lblAlgn val="ctr"/>
        <c:lblOffset val="100"/>
        <c:noMultiLvlLbl val="0"/>
      </c:catAx>
      <c:valAx>
        <c:axId val="180788319"/>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45045962"/>
        <c:crosses val="autoZero"/>
        <c:crossBetween val="between"/>
      </c:valAx>
      <c:catAx>
        <c:axId val="889139662"/>
        <c:scaling>
          <c:orientation val="minMax"/>
        </c:scaling>
        <c:delete val="1"/>
        <c:axPos val="b"/>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a:t>
                </a:r>
                <a:endParaRPr lang="en-US" altLang="zh-CN"/>
              </a:p>
            </c:rich>
          </c:tx>
          <c:layout>
            <c:manualLayout>
              <c:xMode val="edge"/>
              <c:yMode val="edge"/>
              <c:x val="0.936597222222222"/>
              <c:y val="0.163657407407408"/>
            </c:manualLayout>
          </c:layout>
          <c:overlay val="0"/>
          <c:spPr>
            <a:noFill/>
            <a:ln>
              <a:noFill/>
            </a:ln>
            <a:effectLst/>
          </c:spPr>
        </c:title>
        <c:majorTickMark val="out"/>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4158844"/>
        <c:crosses val="autoZero"/>
        <c:auto val="1"/>
        <c:lblAlgn val="ctr"/>
        <c:lblOffset val="100"/>
        <c:noMultiLvlLbl val="0"/>
      </c:catAx>
      <c:valAx>
        <c:axId val="404158844"/>
        <c:scaling>
          <c:orientation val="minMax"/>
        </c:scaling>
        <c:delete val="0"/>
        <c:axPos val="r"/>
        <c:numFmt formatCode="0.0_ "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89139662"/>
        <c:crosses val="max"/>
        <c:crossBetween val="between"/>
      </c:valAx>
      <c:spPr>
        <a:noFill/>
        <a:ln>
          <a:noFill/>
        </a:ln>
        <a:effectLst/>
      </c:spPr>
    </c:plotArea>
    <c:legend>
      <c:legendPos val="b"/>
      <c:layout>
        <c:manualLayout>
          <c:xMode val="edge"/>
          <c:yMode val="edge"/>
          <c:x val="0.261458333333333"/>
          <c:y val="0.120833333333333"/>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zh-CN" sz="14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rPr lang="zh-CN" altLang="zh-CN"/>
              <a:t>图</a:t>
            </a:r>
            <a:r>
              <a:rPr lang="en-US" altLang="zh-CN"/>
              <a:t>9     </a:t>
            </a:r>
            <a:r>
              <a:rPr lang="zh-CN" altLang="zh-CN"/>
              <a:t>201</a:t>
            </a:r>
            <a:r>
              <a:rPr lang="en-US" altLang="zh-CN"/>
              <a:t>6</a:t>
            </a:r>
            <a:r>
              <a:rPr lang="zh-CN" altLang="zh-CN"/>
              <a:t>-20</a:t>
            </a:r>
            <a:r>
              <a:rPr lang="en-US" altLang="zh-CN"/>
              <a:t>20</a:t>
            </a:r>
            <a:r>
              <a:rPr lang="zh-CN" altLang="zh-CN"/>
              <a:t>年进出口总额</a:t>
            </a:r>
            <a:endParaRPr lang="zh-CN" altLang="zh-CN"/>
          </a:p>
        </c:rich>
      </c:tx>
      <c:layout>
        <c:manualLayout>
          <c:xMode val="edge"/>
          <c:yMode val="edge"/>
          <c:x val="0.269577164086188"/>
          <c:y val="0.010468386931042"/>
        </c:manualLayout>
      </c:layout>
      <c:overlay val="0"/>
      <c:spPr>
        <a:noFill/>
        <a:ln>
          <a:noFill/>
        </a:ln>
      </c:spPr>
    </c:title>
    <c:autoTitleDeleted val="0"/>
    <c:plotArea>
      <c:layout>
        <c:manualLayout>
          <c:layoutTarget val="inner"/>
          <c:xMode val="edge"/>
          <c:yMode val="edge"/>
          <c:x val="0.0624301075268817"/>
          <c:y val="0.205227492739593"/>
          <c:w val="0.909075268817204"/>
          <c:h val="0.726266537592772"/>
        </c:manualLayout>
      </c:layout>
      <c:barChart>
        <c:barDir val="col"/>
        <c:grouping val="stacked"/>
        <c:varyColors val="0"/>
        <c:ser>
          <c:idx val="0"/>
          <c:order val="0"/>
          <c:tx>
            <c:strRef>
              <c:f>[2020年统计公报图表集总.xlsx]进出口总额!$B$2</c:f>
              <c:strCache>
                <c:ptCount val="1"/>
                <c:pt idx="0">
                  <c:v>进口总额</c:v>
                </c:pt>
              </c:strCache>
            </c:strRef>
          </c:tx>
          <c:spPr>
            <a:solidFill>
              <a:srgbClr val="4F81BD"/>
            </a:solidFill>
            <a:ln>
              <a:noFill/>
            </a:ln>
          </c:spPr>
          <c:invertIfNegative val="0"/>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ctr"/>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ctr"/>
              <c:showLegendKey val="0"/>
              <c:showVal val="1"/>
              <c:showCatName val="0"/>
              <c:showSerName val="0"/>
              <c:showPercent val="0"/>
              <c:showBubbleSize val="0"/>
              <c:extLst>
                <c:ext xmlns:c15="http://schemas.microsoft.com/office/drawing/2012/chart" uri="{CE6537A1-D6FC-4f65-9D91-7224C49458BB}"/>
              </c:extLst>
            </c:dLbl>
            <c:dLbl>
              <c:idx val="2"/>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ctr"/>
              <c:showLegendKey val="0"/>
              <c:showVal val="1"/>
              <c:showCatName val="0"/>
              <c:showSerName val="0"/>
              <c:showPercent val="0"/>
              <c:showBubbleSize val="0"/>
              <c:extLst>
                <c:ext xmlns:c15="http://schemas.microsoft.com/office/drawing/2012/chart" uri="{CE6537A1-D6FC-4f65-9D91-7224C49458BB}"/>
              </c:extLst>
            </c:dLbl>
            <c:dLbl>
              <c:idx val="3"/>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ctr"/>
              <c:showLegendKey val="0"/>
              <c:showVal val="1"/>
              <c:showCatName val="0"/>
              <c:showSerName val="0"/>
              <c:showPercent val="0"/>
              <c:showBubbleSize val="0"/>
              <c:extLst>
                <c:ext xmlns:c15="http://schemas.microsoft.com/office/drawing/2012/chart" uri="{CE6537A1-D6FC-4f65-9D91-7224C49458BB}"/>
              </c:extLst>
            </c:dLbl>
            <c:dLbl>
              <c:idx val="4"/>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ct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[2020年统计公报图表集总.xlsx]进出口总额!$A$3:$A$8</c:f>
              <c:strCache>
                <c:ptCount val="6"/>
                <c:pt idx="0">
                  <c:v>2016年</c:v>
                </c:pt>
                <c:pt idx="1">
                  <c:v>2017年</c:v>
                </c:pt>
                <c:pt idx="2">
                  <c:v>2018年</c:v>
                </c:pt>
                <c:pt idx="3">
                  <c:v>2019年</c:v>
                </c:pt>
                <c:pt idx="4">
                  <c:v>2020年</c:v>
                </c:pt>
                <c:pt idx="5">
                  <c:v>2021年</c:v>
                </c:pt>
              </c:strCache>
            </c:strRef>
          </c:cat>
          <c:val>
            <c:numRef>
              <c:f>[2020年统计公报图表集总.xlsx]进出口总额!$B$3:$B$8</c:f>
              <c:numCache>
                <c:formatCode>0.0_ </c:formatCode>
                <c:ptCount val="6"/>
                <c:pt idx="0">
                  <c:v>206</c:v>
                </c:pt>
                <c:pt idx="1">
                  <c:v>154.8</c:v>
                </c:pt>
                <c:pt idx="2">
                  <c:v>273.9</c:v>
                </c:pt>
                <c:pt idx="3">
                  <c:v>245</c:v>
                </c:pt>
                <c:pt idx="4">
                  <c:v>258</c:v>
                </c:pt>
                <c:pt idx="5">
                  <c:v>365.9</c:v>
                </c:pt>
              </c:numCache>
            </c:numRef>
          </c:val>
        </c:ser>
        <c:ser>
          <c:idx val="1"/>
          <c:order val="1"/>
          <c:tx>
            <c:strRef>
              <c:f>[2020年统计公报图表集总.xlsx]进出口总额!$C$2</c:f>
              <c:strCache>
                <c:ptCount val="1"/>
                <c:pt idx="0">
                  <c:v>出口总额</c:v>
                </c:pt>
              </c:strCache>
            </c:strRef>
          </c:tx>
          <c:spPr>
            <a:solidFill>
              <a:srgbClr val="C0504D"/>
            </a:solidFill>
            <a:ln>
              <a:noFill/>
            </a:ln>
          </c:spPr>
          <c:invertIfNegative val="0"/>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ctr"/>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ctr"/>
              <c:showLegendKey val="0"/>
              <c:showVal val="1"/>
              <c:showCatName val="0"/>
              <c:showSerName val="0"/>
              <c:showPercent val="0"/>
              <c:showBubbleSize val="0"/>
              <c:extLst>
                <c:ext xmlns:c15="http://schemas.microsoft.com/office/drawing/2012/chart" uri="{CE6537A1-D6FC-4f65-9D91-7224C49458BB}"/>
              </c:extLst>
            </c:dLbl>
            <c:dLbl>
              <c:idx val="2"/>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ctr"/>
              <c:showLegendKey val="0"/>
              <c:showVal val="1"/>
              <c:showCatName val="0"/>
              <c:showSerName val="0"/>
              <c:showPercent val="0"/>
              <c:showBubbleSize val="0"/>
              <c:extLst>
                <c:ext xmlns:c15="http://schemas.microsoft.com/office/drawing/2012/chart" uri="{CE6537A1-D6FC-4f65-9D91-7224C49458BB}"/>
              </c:extLst>
            </c:dLbl>
            <c:dLbl>
              <c:idx val="3"/>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ctr"/>
              <c:showLegendKey val="0"/>
              <c:showVal val="1"/>
              <c:showCatName val="0"/>
              <c:showSerName val="0"/>
              <c:showPercent val="0"/>
              <c:showBubbleSize val="0"/>
              <c:extLst>
                <c:ext xmlns:c15="http://schemas.microsoft.com/office/drawing/2012/chart" uri="{CE6537A1-D6FC-4f65-9D91-7224C49458BB}"/>
              </c:extLst>
            </c:dLbl>
            <c:dLbl>
              <c:idx val="4"/>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ct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[2020年统计公报图表集总.xlsx]进出口总额!$A$3:$A$8</c:f>
              <c:strCache>
                <c:ptCount val="6"/>
                <c:pt idx="0">
                  <c:v>2016年</c:v>
                </c:pt>
                <c:pt idx="1">
                  <c:v>2017年</c:v>
                </c:pt>
                <c:pt idx="2">
                  <c:v>2018年</c:v>
                </c:pt>
                <c:pt idx="3">
                  <c:v>2019年</c:v>
                </c:pt>
                <c:pt idx="4">
                  <c:v>2020年</c:v>
                </c:pt>
                <c:pt idx="5">
                  <c:v>2021年</c:v>
                </c:pt>
              </c:strCache>
            </c:strRef>
          </c:cat>
          <c:val>
            <c:numRef>
              <c:f>[2020年统计公报图表集总.xlsx]进出口总额!$C$3:$C$8</c:f>
              <c:numCache>
                <c:formatCode>General</c:formatCode>
                <c:ptCount val="6"/>
                <c:pt idx="0">
                  <c:v>52.2</c:v>
                </c:pt>
                <c:pt idx="1">
                  <c:v>55.5</c:v>
                </c:pt>
                <c:pt idx="2" c:formatCode="0.0_ ">
                  <c:v>67.24</c:v>
                </c:pt>
                <c:pt idx="3" c:formatCode="0.0_ ">
                  <c:v>86.3</c:v>
                </c:pt>
                <c:pt idx="4" c:formatCode="0.0_ ">
                  <c:v>110.3</c:v>
                </c:pt>
                <c:pt idx="5" c:formatCode="0.0_ ">
                  <c:v>110.5</c:v>
                </c:pt>
              </c:numCache>
            </c:numRef>
          </c:val>
        </c:ser>
        <c:dLbls>
          <c:showLegendKey val="0"/>
          <c:showVal val="0"/>
          <c:showCatName val="0"/>
          <c:showSerName val="0"/>
          <c:showPercent val="0"/>
          <c:showBubbleSize val="0"/>
        </c:dLbls>
        <c:gapWidth val="150"/>
        <c:overlap val="100"/>
        <c:axId val="0"/>
        <c:axId val="1"/>
      </c:barChart>
      <c:catAx>
        <c:axId val="0"/>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t>亿元</a:t>
                </a:r>
              </a:p>
            </c:rich>
          </c:tx>
          <c:layout>
            <c:manualLayout>
              <c:xMode val="edge"/>
              <c:yMode val="edge"/>
              <c:x val="0.00391338377250196"/>
              <c:y val="0.0617951774386332"/>
            </c:manualLayout>
          </c:layout>
          <c:overlay val="0"/>
        </c:title>
        <c:majorTickMark val="in"/>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1"/>
        <c:crosses val="autoZero"/>
        <c:auto val="0"/>
        <c:lblAlgn val="ctr"/>
        <c:lblOffset val="100"/>
        <c:tickLblSkip val="1"/>
        <c:noMultiLvlLbl val="0"/>
      </c:catAx>
      <c:valAx>
        <c:axId val="1"/>
        <c:scaling>
          <c:orientation val="minMax"/>
          <c:max val="500"/>
          <c:min val="0"/>
        </c:scaling>
        <c:delete val="0"/>
        <c:axPos val="l"/>
        <c:majorGridlines>
          <c:spPr>
            <a:ln w="12700" cap="flat" cmpd="sng" algn="ctr">
              <a:solidFill>
                <a:schemeClr val="bg1">
                  <a:lumMod val="95000"/>
                </a:schemeClr>
              </a:solidFill>
              <a:prstDash val="solid"/>
              <a:round/>
            </a:ln>
          </c:spPr>
        </c:majorGridlines>
        <c:numFmt formatCode="0_);[Red]\(0\)" sourceLinked="0"/>
        <c:majorTickMark val="in"/>
        <c:minorTickMark val="none"/>
        <c:tickLblPos val="nextTo"/>
        <c:spPr>
          <a:ln w="9525" cap="flat" cmpd="sng" algn="ctr">
            <a:no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0"/>
        <c:crosses val="autoZero"/>
        <c:crossBetween val="between"/>
        <c:majorUnit val="100"/>
      </c:valAx>
      <c:spPr>
        <a:noFill/>
        <a:ln>
          <a:noFill/>
        </a:ln>
      </c:spPr>
    </c:plotArea>
    <c:legend>
      <c:legendPos val="b"/>
      <c:legendEntry>
        <c:idx val="0"/>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Entry>
      <c:legendEntry>
        <c:idx val="1"/>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Entry>
      <c:layout>
        <c:manualLayout>
          <c:xMode val="edge"/>
          <c:yMode val="edge"/>
          <c:x val="0.398978494623656"/>
          <c:y val="0.0871248789932236"/>
        </c:manualLayout>
      </c:layout>
      <c:overlay val="0"/>
      <c:spPr>
        <a:noFill/>
        <a:ln>
          <a:noFill/>
        </a:ln>
      </c:spPr>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
    <c:plotVisOnly val="1"/>
    <c:dispBlanksAs val="gap"/>
    <c:showDLblsOverMax val="0"/>
  </c:chart>
  <c:spPr>
    <a:solidFill>
      <a:srgbClr val="FFFFFF"/>
    </a:solidFill>
    <a:ln w="3175" cap="flat" cmpd="sng" algn="ctr">
      <a:noFill/>
      <a:prstDash val="solid"/>
      <a:round/>
    </a:ln>
  </c:spPr>
  <c:txPr>
    <a:bodyPr/>
    <a:lstStyle/>
    <a:p>
      <a:pPr>
        <a:defRPr lang="zh-CN" sz="10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秀英区</Company>
  <Pages>27</Pages>
  <Words>9466</Words>
  <Characters>11669</Characters>
  <Lines>78</Lines>
  <Paragraphs>22</Paragraphs>
  <TotalTime>4</TotalTime>
  <ScaleCrop>false</ScaleCrop>
  <LinksUpToDate>false</LinksUpToDate>
  <CharactersWithSpaces>11669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2022-01-17T06:59:00Z</dcterms:created>
  <dc:creator>HKTJJ</dc:creator>
  <cp:lastModifiedBy>WPS_1592807681</cp:lastModifiedBy>
  <cp:lastPrinted>2022-01-29T15:11:00Z</cp:lastPrinted>
  <dcterms:modified xsi:type="dcterms:W3CDTF">2023-01-11T10:44:34Z</dcterms:modified>
  <dc:title>2020年海口市国民经济和社会发展统计公报</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1CCBB1A15A064549B5793F9F229ED53A</vt:lpwstr>
  </property>
</Properties>
</file>